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DB4" w:rsidRDefault="00DF4DB4">
      <w:bookmarkStart w:id="0" w:name="_GoBack"/>
      <w:bookmarkEnd w:id="0"/>
    </w:p>
    <w:tbl>
      <w:tblPr>
        <w:tblStyle w:val="TabloKlavuzu"/>
        <w:tblW w:w="5611" w:type="pct"/>
        <w:tblInd w:w="-459" w:type="dxa"/>
        <w:tblLook w:val="04A0" w:firstRow="1" w:lastRow="0" w:firstColumn="1" w:lastColumn="0" w:noHBand="0" w:noVBand="1"/>
      </w:tblPr>
      <w:tblGrid>
        <w:gridCol w:w="4463"/>
        <w:gridCol w:w="2116"/>
        <w:gridCol w:w="1924"/>
        <w:gridCol w:w="1920"/>
      </w:tblGrid>
      <w:tr w:rsidR="0037527E" w:rsidRPr="000F6262" w:rsidTr="0037527E">
        <w:trPr>
          <w:trHeight w:val="318"/>
        </w:trPr>
        <w:tc>
          <w:tcPr>
            <w:tcW w:w="5000" w:type="pct"/>
            <w:gridSpan w:val="4"/>
            <w:tcBorders>
              <w:top w:val="single" w:sz="12" w:space="0" w:color="auto"/>
              <w:left w:val="single" w:sz="12" w:space="0" w:color="auto"/>
              <w:right w:val="single" w:sz="12" w:space="0" w:color="auto"/>
            </w:tcBorders>
          </w:tcPr>
          <w:p w:rsidR="0037527E" w:rsidRPr="000F6262" w:rsidRDefault="0037527E" w:rsidP="00996E3F">
            <w:pPr>
              <w:jc w:val="center"/>
              <w:rPr>
                <w:b/>
              </w:rPr>
            </w:pPr>
            <w:r>
              <w:rPr>
                <w:b/>
              </w:rPr>
              <w:t>B.U.Ü. FEN-</w:t>
            </w:r>
            <w:r w:rsidRPr="000F6262">
              <w:rPr>
                <w:b/>
              </w:rPr>
              <w:t xml:space="preserve">EDEBİYAT FAKÜLTESİ </w:t>
            </w:r>
            <w:r>
              <w:rPr>
                <w:b/>
              </w:rPr>
              <w:t xml:space="preserve">KİMYA BÖLÜMÜ </w:t>
            </w:r>
            <w:r w:rsidRPr="000F6262">
              <w:rPr>
                <w:b/>
              </w:rPr>
              <w:t>LABORATUVAR ANALİZ FİYAT LİSTESİ</w:t>
            </w:r>
            <w:r>
              <w:rPr>
                <w:b/>
              </w:rPr>
              <w:t xml:space="preserve"> (2019 YILI)</w:t>
            </w:r>
          </w:p>
        </w:tc>
      </w:tr>
      <w:tr w:rsidR="0037527E" w:rsidRPr="000F6262" w:rsidTr="0037527E">
        <w:trPr>
          <w:trHeight w:val="377"/>
        </w:trPr>
        <w:tc>
          <w:tcPr>
            <w:tcW w:w="2141" w:type="pct"/>
            <w:vMerge w:val="restart"/>
            <w:tcBorders>
              <w:left w:val="single" w:sz="12" w:space="0" w:color="auto"/>
              <w:right w:val="single" w:sz="12" w:space="0" w:color="auto"/>
            </w:tcBorders>
            <w:vAlign w:val="center"/>
          </w:tcPr>
          <w:p w:rsidR="0037527E" w:rsidRPr="000F6262" w:rsidRDefault="0037527E" w:rsidP="00996E3F">
            <w:pPr>
              <w:jc w:val="center"/>
              <w:rPr>
                <w:b/>
              </w:rPr>
            </w:pPr>
            <w:r w:rsidRPr="000F6262">
              <w:rPr>
                <w:b/>
              </w:rPr>
              <w:t>Yapılan Analiz</w:t>
            </w:r>
          </w:p>
        </w:tc>
        <w:tc>
          <w:tcPr>
            <w:tcW w:w="2859" w:type="pct"/>
            <w:gridSpan w:val="3"/>
            <w:tcBorders>
              <w:top w:val="single" w:sz="12" w:space="0" w:color="auto"/>
              <w:left w:val="single" w:sz="12" w:space="0" w:color="auto"/>
              <w:bottom w:val="single" w:sz="12" w:space="0" w:color="auto"/>
              <w:right w:val="single" w:sz="12" w:space="0" w:color="auto"/>
            </w:tcBorders>
          </w:tcPr>
          <w:p w:rsidR="0037527E" w:rsidRPr="000F6262" w:rsidRDefault="0037527E" w:rsidP="00996E3F">
            <w:pPr>
              <w:jc w:val="center"/>
              <w:rPr>
                <w:b/>
              </w:rPr>
            </w:pPr>
            <w:r w:rsidRPr="000F6262">
              <w:rPr>
                <w:b/>
              </w:rPr>
              <w:t>Hizmet Bedeli(</w:t>
            </w:r>
            <w:r w:rsidRPr="000F6262">
              <w:rPr>
                <w:b/>
                <w:shd w:val="clear" w:color="auto" w:fill="FFFFFF"/>
              </w:rPr>
              <w:t xml:space="preserve"> ₺) (Fiyatlara KDV </w:t>
            </w:r>
            <w:proofErr w:type="gramStart"/>
            <w:r w:rsidRPr="000F6262">
              <w:rPr>
                <w:b/>
                <w:shd w:val="clear" w:color="auto" w:fill="FFFFFF"/>
              </w:rPr>
              <w:t>Dahil</w:t>
            </w:r>
            <w:proofErr w:type="gramEnd"/>
            <w:r w:rsidRPr="000F6262">
              <w:rPr>
                <w:b/>
                <w:shd w:val="clear" w:color="auto" w:fill="FFFFFF"/>
              </w:rPr>
              <w:t xml:space="preserve"> Değildir)</w:t>
            </w:r>
          </w:p>
        </w:tc>
      </w:tr>
      <w:tr w:rsidR="0037527E" w:rsidRPr="000F6262" w:rsidTr="0037527E">
        <w:trPr>
          <w:trHeight w:val="161"/>
        </w:trPr>
        <w:tc>
          <w:tcPr>
            <w:tcW w:w="2141" w:type="pct"/>
            <w:vMerge/>
            <w:tcBorders>
              <w:left w:val="single" w:sz="12" w:space="0" w:color="auto"/>
              <w:bottom w:val="single" w:sz="12" w:space="0" w:color="auto"/>
              <w:right w:val="single" w:sz="12" w:space="0" w:color="auto"/>
            </w:tcBorders>
          </w:tcPr>
          <w:p w:rsidR="0037527E" w:rsidRPr="000F6262" w:rsidRDefault="0037527E" w:rsidP="00996E3F">
            <w:pPr>
              <w:jc w:val="center"/>
            </w:pPr>
          </w:p>
        </w:tc>
        <w:tc>
          <w:tcPr>
            <w:tcW w:w="1015" w:type="pct"/>
            <w:tcBorders>
              <w:top w:val="single" w:sz="12" w:space="0" w:color="auto"/>
              <w:left w:val="single" w:sz="12" w:space="0" w:color="auto"/>
              <w:bottom w:val="single" w:sz="12" w:space="0" w:color="auto"/>
              <w:right w:val="single" w:sz="12" w:space="0" w:color="auto"/>
            </w:tcBorders>
          </w:tcPr>
          <w:p w:rsidR="0037527E" w:rsidRPr="000F6262" w:rsidRDefault="0037527E" w:rsidP="00996E3F">
            <w:pPr>
              <w:jc w:val="center"/>
              <w:rPr>
                <w:b/>
              </w:rPr>
            </w:pPr>
            <w:r w:rsidRPr="000F6262">
              <w:rPr>
                <w:b/>
              </w:rPr>
              <w:t>Uludağ Üniversitesi Personel ve Öğrencisi</w:t>
            </w:r>
          </w:p>
        </w:tc>
        <w:tc>
          <w:tcPr>
            <w:tcW w:w="923" w:type="pct"/>
            <w:tcBorders>
              <w:top w:val="single" w:sz="12" w:space="0" w:color="auto"/>
              <w:left w:val="single" w:sz="12" w:space="0" w:color="auto"/>
              <w:bottom w:val="single" w:sz="12" w:space="0" w:color="auto"/>
              <w:right w:val="single" w:sz="12" w:space="0" w:color="auto"/>
            </w:tcBorders>
          </w:tcPr>
          <w:p w:rsidR="0037527E" w:rsidRPr="000F6262" w:rsidRDefault="0037527E" w:rsidP="00996E3F">
            <w:pPr>
              <w:jc w:val="center"/>
              <w:rPr>
                <w:b/>
              </w:rPr>
            </w:pPr>
            <w:r w:rsidRPr="000F6262">
              <w:rPr>
                <w:b/>
              </w:rPr>
              <w:t>Diğer Üniversiteler ve Kamu Kurumları</w:t>
            </w:r>
          </w:p>
        </w:tc>
        <w:tc>
          <w:tcPr>
            <w:tcW w:w="921" w:type="pct"/>
            <w:tcBorders>
              <w:top w:val="single" w:sz="12" w:space="0" w:color="auto"/>
              <w:left w:val="single" w:sz="12" w:space="0" w:color="auto"/>
              <w:bottom w:val="single" w:sz="12" w:space="0" w:color="auto"/>
              <w:right w:val="single" w:sz="12" w:space="0" w:color="auto"/>
            </w:tcBorders>
          </w:tcPr>
          <w:p w:rsidR="0037527E" w:rsidRPr="000F6262" w:rsidRDefault="0037527E" w:rsidP="00996E3F">
            <w:pPr>
              <w:jc w:val="center"/>
              <w:rPr>
                <w:b/>
              </w:rPr>
            </w:pPr>
            <w:r w:rsidRPr="000F6262">
              <w:rPr>
                <w:b/>
              </w:rPr>
              <w:t>Standart Fiyat</w:t>
            </w:r>
          </w:p>
        </w:tc>
      </w:tr>
      <w:tr w:rsidR="0037527E" w:rsidRPr="000F6262" w:rsidTr="0037527E">
        <w:trPr>
          <w:trHeight w:val="301"/>
        </w:trPr>
        <w:tc>
          <w:tcPr>
            <w:tcW w:w="2141" w:type="pct"/>
            <w:tcBorders>
              <w:top w:val="single" w:sz="12" w:space="0" w:color="auto"/>
              <w:left w:val="single" w:sz="12" w:space="0" w:color="auto"/>
              <w:bottom w:val="single" w:sz="12" w:space="0" w:color="auto"/>
              <w:right w:val="single" w:sz="12" w:space="0" w:color="auto"/>
            </w:tcBorders>
          </w:tcPr>
          <w:p w:rsidR="0037527E" w:rsidRPr="000F6262" w:rsidRDefault="0037527E" w:rsidP="00996E3F">
            <w:pPr>
              <w:jc w:val="both"/>
              <w:rPr>
                <w:b/>
              </w:rPr>
            </w:pPr>
            <w:r w:rsidRPr="000F6262">
              <w:rPr>
                <w:b/>
              </w:rPr>
              <w:t xml:space="preserve">Malzemelerin Termal </w:t>
            </w:r>
            <w:proofErr w:type="spellStart"/>
            <w:r w:rsidRPr="000F6262">
              <w:rPr>
                <w:b/>
              </w:rPr>
              <w:t>Gravimetrik</w:t>
            </w:r>
            <w:proofErr w:type="spellEnd"/>
            <w:r w:rsidRPr="000F6262">
              <w:rPr>
                <w:b/>
              </w:rPr>
              <w:t xml:space="preserve"> Analiz (TGA) ve Diferansiyel Termal Analiz (DTA) Analizi*</w:t>
            </w:r>
          </w:p>
        </w:tc>
        <w:tc>
          <w:tcPr>
            <w:tcW w:w="1015" w:type="pct"/>
            <w:tcBorders>
              <w:top w:val="single" w:sz="12" w:space="0" w:color="auto"/>
              <w:left w:val="single" w:sz="12" w:space="0" w:color="auto"/>
              <w:bottom w:val="single" w:sz="12" w:space="0" w:color="auto"/>
              <w:right w:val="single" w:sz="12" w:space="0" w:color="auto"/>
            </w:tcBorders>
            <w:vAlign w:val="center"/>
          </w:tcPr>
          <w:p w:rsidR="0037527E" w:rsidRPr="000F6262" w:rsidRDefault="0037527E" w:rsidP="00996E3F">
            <w:pPr>
              <w:jc w:val="center"/>
            </w:pPr>
            <w:r w:rsidRPr="000F6262">
              <w:t>75,00 TL / Örnek</w:t>
            </w:r>
          </w:p>
        </w:tc>
        <w:tc>
          <w:tcPr>
            <w:tcW w:w="923" w:type="pct"/>
            <w:tcBorders>
              <w:top w:val="single" w:sz="12" w:space="0" w:color="auto"/>
              <w:left w:val="single" w:sz="12" w:space="0" w:color="auto"/>
              <w:bottom w:val="single" w:sz="12" w:space="0" w:color="auto"/>
              <w:right w:val="single" w:sz="12" w:space="0" w:color="auto"/>
            </w:tcBorders>
            <w:vAlign w:val="center"/>
          </w:tcPr>
          <w:p w:rsidR="0037527E" w:rsidRPr="000F6262" w:rsidRDefault="0037527E" w:rsidP="00996E3F">
            <w:pPr>
              <w:jc w:val="center"/>
            </w:pPr>
            <w:r w:rsidRPr="000F6262">
              <w:t>105,00 TL/Örnek</w:t>
            </w:r>
          </w:p>
        </w:tc>
        <w:tc>
          <w:tcPr>
            <w:tcW w:w="921" w:type="pct"/>
            <w:tcBorders>
              <w:top w:val="single" w:sz="12" w:space="0" w:color="auto"/>
              <w:left w:val="single" w:sz="12" w:space="0" w:color="auto"/>
              <w:bottom w:val="single" w:sz="12" w:space="0" w:color="auto"/>
              <w:right w:val="single" w:sz="12" w:space="0" w:color="auto"/>
            </w:tcBorders>
            <w:vAlign w:val="center"/>
          </w:tcPr>
          <w:p w:rsidR="0037527E" w:rsidRPr="000F6262" w:rsidRDefault="0037527E" w:rsidP="00996E3F">
            <w:pPr>
              <w:jc w:val="center"/>
            </w:pPr>
            <w:r w:rsidRPr="000F6262">
              <w:t>150,00 TL/Örnek</w:t>
            </w:r>
          </w:p>
        </w:tc>
      </w:tr>
      <w:tr w:rsidR="0037527E" w:rsidRPr="000F6262" w:rsidTr="0037527E">
        <w:trPr>
          <w:trHeight w:val="301"/>
        </w:trPr>
        <w:tc>
          <w:tcPr>
            <w:tcW w:w="2141" w:type="pct"/>
            <w:tcBorders>
              <w:top w:val="single" w:sz="12" w:space="0" w:color="auto"/>
              <w:left w:val="single" w:sz="12" w:space="0" w:color="auto"/>
              <w:right w:val="single" w:sz="12" w:space="0" w:color="auto"/>
            </w:tcBorders>
            <w:vAlign w:val="center"/>
          </w:tcPr>
          <w:p w:rsidR="0037527E" w:rsidRPr="000F6262" w:rsidRDefault="0037527E" w:rsidP="00996E3F">
            <w:pPr>
              <w:spacing w:after="160" w:line="259" w:lineRule="auto"/>
              <w:jc w:val="both"/>
              <w:rPr>
                <w:rFonts w:eastAsia="Calibri"/>
                <w:b/>
                <w:noProof/>
              </w:rPr>
            </w:pPr>
            <w:r w:rsidRPr="000F6262">
              <w:rPr>
                <w:rFonts w:eastAsia="Calibri"/>
                <w:b/>
                <w:noProof/>
              </w:rPr>
              <w:t>ICP-MS ile element analizi**</w:t>
            </w:r>
          </w:p>
        </w:tc>
        <w:tc>
          <w:tcPr>
            <w:tcW w:w="1015" w:type="pct"/>
            <w:tcBorders>
              <w:top w:val="single" w:sz="12" w:space="0" w:color="auto"/>
              <w:left w:val="single" w:sz="12" w:space="0" w:color="auto"/>
              <w:right w:val="single" w:sz="12" w:space="0" w:color="auto"/>
            </w:tcBorders>
            <w:vAlign w:val="center"/>
          </w:tcPr>
          <w:p w:rsidR="0037527E" w:rsidRPr="000F6262" w:rsidRDefault="0037527E" w:rsidP="00996E3F">
            <w:pPr>
              <w:jc w:val="center"/>
            </w:pPr>
          </w:p>
        </w:tc>
        <w:tc>
          <w:tcPr>
            <w:tcW w:w="923" w:type="pct"/>
            <w:tcBorders>
              <w:top w:val="single" w:sz="12" w:space="0" w:color="auto"/>
              <w:left w:val="single" w:sz="12" w:space="0" w:color="auto"/>
              <w:right w:val="single" w:sz="12" w:space="0" w:color="auto"/>
            </w:tcBorders>
            <w:vAlign w:val="center"/>
          </w:tcPr>
          <w:p w:rsidR="0037527E" w:rsidRPr="000F6262" w:rsidRDefault="0037527E" w:rsidP="00996E3F">
            <w:pPr>
              <w:jc w:val="center"/>
            </w:pPr>
          </w:p>
        </w:tc>
        <w:tc>
          <w:tcPr>
            <w:tcW w:w="921" w:type="pct"/>
            <w:tcBorders>
              <w:top w:val="single" w:sz="12" w:space="0" w:color="auto"/>
              <w:left w:val="single" w:sz="12" w:space="0" w:color="auto"/>
              <w:right w:val="single" w:sz="12" w:space="0" w:color="auto"/>
            </w:tcBorders>
            <w:vAlign w:val="center"/>
          </w:tcPr>
          <w:p w:rsidR="0037527E" w:rsidRPr="000F6262" w:rsidRDefault="0037527E" w:rsidP="00996E3F">
            <w:pPr>
              <w:jc w:val="center"/>
            </w:pPr>
          </w:p>
        </w:tc>
      </w:tr>
      <w:tr w:rsidR="0037527E" w:rsidRPr="000F6262" w:rsidTr="0037527E">
        <w:trPr>
          <w:trHeight w:val="301"/>
        </w:trPr>
        <w:tc>
          <w:tcPr>
            <w:tcW w:w="2141" w:type="pct"/>
            <w:tcBorders>
              <w:left w:val="single" w:sz="12" w:space="0" w:color="auto"/>
              <w:right w:val="single" w:sz="12" w:space="0" w:color="auto"/>
            </w:tcBorders>
            <w:vAlign w:val="center"/>
          </w:tcPr>
          <w:p w:rsidR="0037527E" w:rsidRPr="000F6262" w:rsidRDefault="0037527E" w:rsidP="00996E3F">
            <w:pPr>
              <w:jc w:val="center"/>
            </w:pPr>
            <w:r w:rsidRPr="000F6262">
              <w:rPr>
                <w:rFonts w:eastAsia="Calibri"/>
                <w:noProof/>
              </w:rPr>
              <w:t>Tek Element</w:t>
            </w:r>
          </w:p>
        </w:tc>
        <w:tc>
          <w:tcPr>
            <w:tcW w:w="1015" w:type="pct"/>
            <w:tcBorders>
              <w:left w:val="single" w:sz="12" w:space="0" w:color="auto"/>
              <w:right w:val="single" w:sz="12" w:space="0" w:color="auto"/>
            </w:tcBorders>
            <w:vAlign w:val="center"/>
          </w:tcPr>
          <w:p w:rsidR="0037527E" w:rsidRPr="000F6262" w:rsidRDefault="0037527E" w:rsidP="00996E3F">
            <w:pPr>
              <w:jc w:val="center"/>
            </w:pPr>
            <w:r w:rsidRPr="000F6262">
              <w:t>50,00 TL/Örnek</w:t>
            </w:r>
          </w:p>
        </w:tc>
        <w:tc>
          <w:tcPr>
            <w:tcW w:w="923" w:type="pct"/>
            <w:tcBorders>
              <w:left w:val="single" w:sz="12" w:space="0" w:color="auto"/>
              <w:right w:val="single" w:sz="12" w:space="0" w:color="auto"/>
            </w:tcBorders>
            <w:vAlign w:val="center"/>
          </w:tcPr>
          <w:p w:rsidR="0037527E" w:rsidRPr="000F6262" w:rsidRDefault="0037527E" w:rsidP="00996E3F">
            <w:pPr>
              <w:jc w:val="center"/>
            </w:pPr>
            <w:r w:rsidRPr="000F6262">
              <w:t>70,00 TL/Örnek</w:t>
            </w:r>
          </w:p>
        </w:tc>
        <w:tc>
          <w:tcPr>
            <w:tcW w:w="921" w:type="pct"/>
            <w:tcBorders>
              <w:left w:val="single" w:sz="12" w:space="0" w:color="auto"/>
              <w:right w:val="single" w:sz="12" w:space="0" w:color="auto"/>
            </w:tcBorders>
            <w:vAlign w:val="center"/>
          </w:tcPr>
          <w:p w:rsidR="0037527E" w:rsidRPr="000F6262" w:rsidRDefault="0037527E" w:rsidP="00996E3F">
            <w:pPr>
              <w:jc w:val="center"/>
            </w:pPr>
            <w:r w:rsidRPr="000F6262">
              <w:rPr>
                <w:rFonts w:eastAsia="Calibri"/>
                <w:noProof/>
              </w:rPr>
              <w:t>100,00 TL/Örnek</w:t>
            </w:r>
          </w:p>
        </w:tc>
      </w:tr>
      <w:tr w:rsidR="0037527E" w:rsidRPr="000F6262" w:rsidTr="0037527E">
        <w:trPr>
          <w:trHeight w:val="301"/>
        </w:trPr>
        <w:tc>
          <w:tcPr>
            <w:tcW w:w="2141" w:type="pct"/>
            <w:tcBorders>
              <w:left w:val="single" w:sz="12" w:space="0" w:color="auto"/>
              <w:right w:val="single" w:sz="12" w:space="0" w:color="auto"/>
            </w:tcBorders>
            <w:vAlign w:val="center"/>
          </w:tcPr>
          <w:p w:rsidR="0037527E" w:rsidRPr="000F6262" w:rsidRDefault="0037527E" w:rsidP="00996E3F">
            <w:pPr>
              <w:jc w:val="center"/>
            </w:pPr>
            <w:r w:rsidRPr="000F6262">
              <w:rPr>
                <w:rFonts w:eastAsia="Calibri"/>
                <w:noProof/>
              </w:rPr>
              <w:t>2-5 Element</w:t>
            </w:r>
          </w:p>
        </w:tc>
        <w:tc>
          <w:tcPr>
            <w:tcW w:w="1015" w:type="pct"/>
            <w:tcBorders>
              <w:left w:val="single" w:sz="12" w:space="0" w:color="auto"/>
              <w:right w:val="single" w:sz="12" w:space="0" w:color="auto"/>
            </w:tcBorders>
            <w:vAlign w:val="center"/>
          </w:tcPr>
          <w:p w:rsidR="0037527E" w:rsidRPr="000F6262" w:rsidRDefault="0037527E" w:rsidP="00996E3F">
            <w:pPr>
              <w:jc w:val="center"/>
            </w:pPr>
            <w:r w:rsidRPr="000F6262">
              <w:t>65,00 TL/Örnek</w:t>
            </w:r>
          </w:p>
        </w:tc>
        <w:tc>
          <w:tcPr>
            <w:tcW w:w="923" w:type="pct"/>
            <w:tcBorders>
              <w:left w:val="single" w:sz="12" w:space="0" w:color="auto"/>
              <w:right w:val="single" w:sz="12" w:space="0" w:color="auto"/>
            </w:tcBorders>
            <w:vAlign w:val="center"/>
          </w:tcPr>
          <w:p w:rsidR="0037527E" w:rsidRPr="000F6262" w:rsidRDefault="0037527E" w:rsidP="00996E3F">
            <w:pPr>
              <w:spacing w:after="160" w:line="259" w:lineRule="auto"/>
              <w:jc w:val="center"/>
              <w:rPr>
                <w:rFonts w:eastAsia="Calibri"/>
                <w:noProof/>
              </w:rPr>
            </w:pPr>
            <w:r w:rsidRPr="000F6262">
              <w:rPr>
                <w:rFonts w:eastAsia="Calibri"/>
                <w:noProof/>
              </w:rPr>
              <w:t>91,00 TL/Örnek</w:t>
            </w:r>
          </w:p>
        </w:tc>
        <w:tc>
          <w:tcPr>
            <w:tcW w:w="921" w:type="pct"/>
            <w:tcBorders>
              <w:left w:val="single" w:sz="12" w:space="0" w:color="auto"/>
              <w:right w:val="single" w:sz="12" w:space="0" w:color="auto"/>
            </w:tcBorders>
            <w:vAlign w:val="center"/>
          </w:tcPr>
          <w:p w:rsidR="0037527E" w:rsidRPr="000F6262" w:rsidRDefault="0037527E" w:rsidP="00996E3F">
            <w:pPr>
              <w:spacing w:after="160" w:line="259" w:lineRule="auto"/>
              <w:jc w:val="center"/>
              <w:rPr>
                <w:rFonts w:eastAsia="Calibri"/>
                <w:noProof/>
              </w:rPr>
            </w:pPr>
            <w:r w:rsidRPr="000F6262">
              <w:rPr>
                <w:rFonts w:eastAsia="Calibri"/>
                <w:noProof/>
              </w:rPr>
              <w:t>130,00 TL/Örnek</w:t>
            </w:r>
          </w:p>
        </w:tc>
      </w:tr>
      <w:tr w:rsidR="0037527E" w:rsidRPr="000F6262" w:rsidTr="0037527E">
        <w:trPr>
          <w:trHeight w:val="318"/>
        </w:trPr>
        <w:tc>
          <w:tcPr>
            <w:tcW w:w="2141" w:type="pct"/>
            <w:tcBorders>
              <w:left w:val="single" w:sz="12" w:space="0" w:color="auto"/>
              <w:right w:val="single" w:sz="12" w:space="0" w:color="auto"/>
            </w:tcBorders>
            <w:vAlign w:val="center"/>
          </w:tcPr>
          <w:p w:rsidR="0037527E" w:rsidRPr="000F6262" w:rsidRDefault="0037527E" w:rsidP="00996E3F">
            <w:pPr>
              <w:jc w:val="center"/>
            </w:pPr>
            <w:r w:rsidRPr="000F6262">
              <w:rPr>
                <w:rFonts w:eastAsia="Calibri"/>
                <w:noProof/>
              </w:rPr>
              <w:t>6-10 Element</w:t>
            </w:r>
          </w:p>
        </w:tc>
        <w:tc>
          <w:tcPr>
            <w:tcW w:w="1015" w:type="pct"/>
            <w:tcBorders>
              <w:left w:val="single" w:sz="12" w:space="0" w:color="auto"/>
              <w:right w:val="single" w:sz="12" w:space="0" w:color="auto"/>
            </w:tcBorders>
            <w:vAlign w:val="center"/>
          </w:tcPr>
          <w:p w:rsidR="0037527E" w:rsidRPr="000F6262" w:rsidRDefault="0037527E" w:rsidP="00996E3F">
            <w:pPr>
              <w:jc w:val="center"/>
            </w:pPr>
            <w:r w:rsidRPr="000F6262">
              <w:t>80,00 TL/Örnek</w:t>
            </w:r>
          </w:p>
        </w:tc>
        <w:tc>
          <w:tcPr>
            <w:tcW w:w="923" w:type="pct"/>
            <w:tcBorders>
              <w:left w:val="single" w:sz="12" w:space="0" w:color="auto"/>
              <w:right w:val="single" w:sz="12" w:space="0" w:color="auto"/>
            </w:tcBorders>
            <w:vAlign w:val="center"/>
          </w:tcPr>
          <w:p w:rsidR="0037527E" w:rsidRPr="000F6262" w:rsidRDefault="0037527E" w:rsidP="00996E3F">
            <w:pPr>
              <w:spacing w:after="160" w:line="259" w:lineRule="auto"/>
              <w:jc w:val="center"/>
              <w:rPr>
                <w:rFonts w:eastAsia="Calibri"/>
                <w:noProof/>
              </w:rPr>
            </w:pPr>
            <w:r w:rsidRPr="000F6262">
              <w:rPr>
                <w:rFonts w:eastAsia="Calibri"/>
                <w:noProof/>
              </w:rPr>
              <w:t>112,00 TL/Örnek</w:t>
            </w:r>
          </w:p>
        </w:tc>
        <w:tc>
          <w:tcPr>
            <w:tcW w:w="921" w:type="pct"/>
            <w:tcBorders>
              <w:left w:val="single" w:sz="12" w:space="0" w:color="auto"/>
              <w:right w:val="single" w:sz="12" w:space="0" w:color="auto"/>
            </w:tcBorders>
            <w:vAlign w:val="center"/>
          </w:tcPr>
          <w:p w:rsidR="0037527E" w:rsidRPr="000F6262" w:rsidRDefault="0037527E" w:rsidP="00996E3F">
            <w:pPr>
              <w:spacing w:after="160" w:line="259" w:lineRule="auto"/>
              <w:jc w:val="center"/>
              <w:rPr>
                <w:rFonts w:eastAsia="Calibri"/>
                <w:noProof/>
              </w:rPr>
            </w:pPr>
            <w:r w:rsidRPr="000F6262">
              <w:rPr>
                <w:rFonts w:eastAsia="Calibri"/>
                <w:noProof/>
              </w:rPr>
              <w:t>160,00 TL/Örnek</w:t>
            </w:r>
          </w:p>
        </w:tc>
      </w:tr>
      <w:tr w:rsidR="0037527E" w:rsidRPr="000F6262" w:rsidTr="00982886">
        <w:trPr>
          <w:trHeight w:val="318"/>
        </w:trPr>
        <w:tc>
          <w:tcPr>
            <w:tcW w:w="2141" w:type="pct"/>
            <w:tcBorders>
              <w:left w:val="single" w:sz="12" w:space="0" w:color="auto"/>
              <w:right w:val="single" w:sz="12" w:space="0" w:color="auto"/>
            </w:tcBorders>
            <w:vAlign w:val="center"/>
          </w:tcPr>
          <w:p w:rsidR="0037527E" w:rsidRPr="000F6262" w:rsidRDefault="0037527E" w:rsidP="00996E3F">
            <w:pPr>
              <w:jc w:val="center"/>
            </w:pPr>
            <w:r w:rsidRPr="000F6262">
              <w:rPr>
                <w:rFonts w:eastAsia="Calibri"/>
                <w:noProof/>
              </w:rPr>
              <w:t>11-20 Element</w:t>
            </w:r>
          </w:p>
        </w:tc>
        <w:tc>
          <w:tcPr>
            <w:tcW w:w="1015" w:type="pct"/>
            <w:tcBorders>
              <w:left w:val="single" w:sz="12" w:space="0" w:color="auto"/>
              <w:right w:val="single" w:sz="12" w:space="0" w:color="auto"/>
            </w:tcBorders>
            <w:vAlign w:val="center"/>
          </w:tcPr>
          <w:p w:rsidR="0037527E" w:rsidRPr="000F6262" w:rsidRDefault="0037527E" w:rsidP="00996E3F">
            <w:pPr>
              <w:jc w:val="center"/>
            </w:pPr>
            <w:r w:rsidRPr="000F6262">
              <w:t>100,00 TL/Örnek</w:t>
            </w:r>
          </w:p>
        </w:tc>
        <w:tc>
          <w:tcPr>
            <w:tcW w:w="923" w:type="pct"/>
            <w:tcBorders>
              <w:left w:val="single" w:sz="12" w:space="0" w:color="auto"/>
              <w:right w:val="single" w:sz="12" w:space="0" w:color="auto"/>
            </w:tcBorders>
            <w:vAlign w:val="center"/>
          </w:tcPr>
          <w:p w:rsidR="0037527E" w:rsidRPr="000F6262" w:rsidRDefault="0037527E" w:rsidP="00996E3F">
            <w:pPr>
              <w:jc w:val="center"/>
            </w:pPr>
            <w:r w:rsidRPr="000F6262">
              <w:rPr>
                <w:rFonts w:eastAsia="Calibri"/>
                <w:noProof/>
              </w:rPr>
              <w:t>140,00 TL/Örnek</w:t>
            </w:r>
          </w:p>
        </w:tc>
        <w:tc>
          <w:tcPr>
            <w:tcW w:w="921" w:type="pct"/>
            <w:tcBorders>
              <w:left w:val="single" w:sz="12" w:space="0" w:color="auto"/>
              <w:right w:val="single" w:sz="12" w:space="0" w:color="auto"/>
            </w:tcBorders>
            <w:vAlign w:val="center"/>
          </w:tcPr>
          <w:p w:rsidR="0037527E" w:rsidRPr="000F6262" w:rsidRDefault="0037527E" w:rsidP="00996E3F">
            <w:pPr>
              <w:jc w:val="center"/>
            </w:pPr>
            <w:r w:rsidRPr="000F6262">
              <w:rPr>
                <w:rFonts w:eastAsia="Calibri"/>
                <w:noProof/>
              </w:rPr>
              <w:t>200,00 TL/Örnek</w:t>
            </w:r>
          </w:p>
        </w:tc>
      </w:tr>
      <w:tr w:rsidR="008232EF" w:rsidRPr="000F6262" w:rsidTr="009E7276">
        <w:trPr>
          <w:trHeight w:val="318"/>
        </w:trPr>
        <w:tc>
          <w:tcPr>
            <w:tcW w:w="2141" w:type="pct"/>
            <w:tcBorders>
              <w:left w:val="single" w:sz="12" w:space="0" w:color="auto"/>
              <w:bottom w:val="single" w:sz="12" w:space="0" w:color="auto"/>
              <w:right w:val="single" w:sz="12" w:space="0" w:color="auto"/>
            </w:tcBorders>
            <w:vAlign w:val="center"/>
          </w:tcPr>
          <w:p w:rsidR="008232EF" w:rsidRPr="000F6262" w:rsidRDefault="008232EF" w:rsidP="00982886">
            <w:pPr>
              <w:jc w:val="center"/>
            </w:pPr>
            <w:r w:rsidRPr="000F6262">
              <w:rPr>
                <w:rFonts w:eastAsia="Calibri"/>
                <w:noProof/>
              </w:rPr>
              <w:t>2</w:t>
            </w:r>
            <w:r>
              <w:rPr>
                <w:rFonts w:eastAsia="Calibri"/>
                <w:noProof/>
              </w:rPr>
              <w:t>1-100 Element</w:t>
            </w:r>
          </w:p>
        </w:tc>
        <w:tc>
          <w:tcPr>
            <w:tcW w:w="1015" w:type="pct"/>
            <w:tcBorders>
              <w:left w:val="single" w:sz="12" w:space="0" w:color="auto"/>
              <w:bottom w:val="single" w:sz="12" w:space="0" w:color="auto"/>
              <w:right w:val="single" w:sz="12" w:space="0" w:color="auto"/>
            </w:tcBorders>
          </w:tcPr>
          <w:p w:rsidR="008232EF" w:rsidRDefault="008232EF">
            <w:r>
              <w:t xml:space="preserve">     </w:t>
            </w:r>
            <w:r w:rsidRPr="00717DBA">
              <w:t>100,00 TL/Örnek</w:t>
            </w:r>
          </w:p>
        </w:tc>
        <w:tc>
          <w:tcPr>
            <w:tcW w:w="923" w:type="pct"/>
            <w:tcBorders>
              <w:left w:val="single" w:sz="12" w:space="0" w:color="auto"/>
              <w:bottom w:val="single" w:sz="12" w:space="0" w:color="auto"/>
              <w:right w:val="single" w:sz="12" w:space="0" w:color="auto"/>
            </w:tcBorders>
          </w:tcPr>
          <w:p w:rsidR="008232EF" w:rsidRDefault="008232EF">
            <w:r>
              <w:t xml:space="preserve">  </w:t>
            </w:r>
            <w:r w:rsidRPr="00717DBA">
              <w:t>100,00 TL/Örnek</w:t>
            </w:r>
          </w:p>
        </w:tc>
        <w:tc>
          <w:tcPr>
            <w:tcW w:w="921" w:type="pct"/>
            <w:tcBorders>
              <w:left w:val="single" w:sz="12" w:space="0" w:color="auto"/>
              <w:bottom w:val="single" w:sz="12" w:space="0" w:color="auto"/>
              <w:right w:val="single" w:sz="12" w:space="0" w:color="auto"/>
            </w:tcBorders>
          </w:tcPr>
          <w:p w:rsidR="008232EF" w:rsidRDefault="008232EF">
            <w:r>
              <w:t xml:space="preserve">   </w:t>
            </w:r>
            <w:r w:rsidRPr="00717DBA">
              <w:t>100,00 TL/Örnek</w:t>
            </w:r>
          </w:p>
        </w:tc>
      </w:tr>
      <w:tr w:rsidR="0037527E" w:rsidRPr="000F6262" w:rsidTr="00982886">
        <w:trPr>
          <w:trHeight w:val="318"/>
        </w:trPr>
        <w:tc>
          <w:tcPr>
            <w:tcW w:w="2141" w:type="pct"/>
            <w:tcBorders>
              <w:top w:val="single" w:sz="12" w:space="0" w:color="auto"/>
              <w:left w:val="single" w:sz="12" w:space="0" w:color="auto"/>
              <w:bottom w:val="single" w:sz="12" w:space="0" w:color="auto"/>
              <w:right w:val="single" w:sz="12" w:space="0" w:color="auto"/>
            </w:tcBorders>
            <w:vAlign w:val="center"/>
          </w:tcPr>
          <w:p w:rsidR="0037527E" w:rsidRPr="000F6262" w:rsidRDefault="0037527E" w:rsidP="00996E3F">
            <w:pPr>
              <w:jc w:val="both"/>
              <w:rPr>
                <w:b/>
              </w:rPr>
            </w:pPr>
            <w:r w:rsidRPr="000F6262">
              <w:rPr>
                <w:rFonts w:eastAsia="Calibri"/>
                <w:b/>
                <w:noProof/>
              </w:rPr>
              <w:t>FT-IR analizi*</w:t>
            </w:r>
          </w:p>
        </w:tc>
        <w:tc>
          <w:tcPr>
            <w:tcW w:w="1015" w:type="pct"/>
            <w:tcBorders>
              <w:top w:val="single" w:sz="12" w:space="0" w:color="auto"/>
              <w:left w:val="single" w:sz="12" w:space="0" w:color="auto"/>
              <w:bottom w:val="single" w:sz="12" w:space="0" w:color="auto"/>
              <w:right w:val="single" w:sz="12" w:space="0" w:color="auto"/>
            </w:tcBorders>
            <w:vAlign w:val="center"/>
          </w:tcPr>
          <w:p w:rsidR="0037527E" w:rsidRPr="000F6262" w:rsidRDefault="0037527E" w:rsidP="00996E3F">
            <w:pPr>
              <w:jc w:val="center"/>
            </w:pPr>
            <w:r w:rsidRPr="000F6262">
              <w:rPr>
                <w:rFonts w:eastAsia="Calibri"/>
                <w:noProof/>
              </w:rPr>
              <w:t>40,00 TL/Örnek</w:t>
            </w:r>
          </w:p>
        </w:tc>
        <w:tc>
          <w:tcPr>
            <w:tcW w:w="923" w:type="pct"/>
            <w:tcBorders>
              <w:top w:val="single" w:sz="12" w:space="0" w:color="auto"/>
              <w:left w:val="single" w:sz="12" w:space="0" w:color="auto"/>
              <w:bottom w:val="single" w:sz="12" w:space="0" w:color="auto"/>
              <w:right w:val="single" w:sz="12" w:space="0" w:color="auto"/>
            </w:tcBorders>
            <w:vAlign w:val="center"/>
          </w:tcPr>
          <w:p w:rsidR="0037527E" w:rsidRPr="000F6262" w:rsidRDefault="0037527E" w:rsidP="00996E3F">
            <w:pPr>
              <w:jc w:val="center"/>
            </w:pPr>
            <w:r w:rsidRPr="000F6262">
              <w:rPr>
                <w:rFonts w:eastAsia="Calibri"/>
                <w:noProof/>
              </w:rPr>
              <w:t>56,00 TL/Örnek</w:t>
            </w:r>
          </w:p>
        </w:tc>
        <w:tc>
          <w:tcPr>
            <w:tcW w:w="921" w:type="pct"/>
            <w:tcBorders>
              <w:top w:val="single" w:sz="12" w:space="0" w:color="auto"/>
              <w:left w:val="single" w:sz="12" w:space="0" w:color="auto"/>
              <w:bottom w:val="single" w:sz="12" w:space="0" w:color="auto"/>
              <w:right w:val="single" w:sz="12" w:space="0" w:color="auto"/>
            </w:tcBorders>
            <w:vAlign w:val="center"/>
          </w:tcPr>
          <w:p w:rsidR="0037527E" w:rsidRPr="000F6262" w:rsidRDefault="0037527E" w:rsidP="00996E3F">
            <w:pPr>
              <w:jc w:val="center"/>
            </w:pPr>
            <w:r w:rsidRPr="000F6262">
              <w:rPr>
                <w:rFonts w:eastAsia="Calibri"/>
                <w:noProof/>
              </w:rPr>
              <w:t>80,00 TL/Örnek</w:t>
            </w:r>
          </w:p>
        </w:tc>
      </w:tr>
      <w:tr w:rsidR="0037527E" w:rsidRPr="000F6262" w:rsidTr="0037527E">
        <w:trPr>
          <w:trHeight w:val="318"/>
        </w:trPr>
        <w:tc>
          <w:tcPr>
            <w:tcW w:w="2141" w:type="pct"/>
            <w:tcBorders>
              <w:top w:val="single" w:sz="12" w:space="0" w:color="auto"/>
              <w:left w:val="single" w:sz="12" w:space="0" w:color="auto"/>
              <w:bottom w:val="single" w:sz="12" w:space="0" w:color="auto"/>
              <w:right w:val="single" w:sz="12" w:space="0" w:color="auto"/>
            </w:tcBorders>
            <w:vAlign w:val="center"/>
          </w:tcPr>
          <w:p w:rsidR="0037527E" w:rsidRPr="000F6262" w:rsidRDefault="0037527E" w:rsidP="00996E3F">
            <w:pPr>
              <w:jc w:val="both"/>
              <w:rPr>
                <w:b/>
              </w:rPr>
            </w:pPr>
            <w:r w:rsidRPr="000F6262">
              <w:rPr>
                <w:rFonts w:eastAsia="Calibri"/>
                <w:b/>
                <w:noProof/>
              </w:rPr>
              <w:t>UV-Vis analizi*</w:t>
            </w:r>
          </w:p>
        </w:tc>
        <w:tc>
          <w:tcPr>
            <w:tcW w:w="1015" w:type="pct"/>
            <w:tcBorders>
              <w:top w:val="single" w:sz="12" w:space="0" w:color="auto"/>
              <w:left w:val="single" w:sz="12" w:space="0" w:color="auto"/>
              <w:bottom w:val="single" w:sz="12" w:space="0" w:color="auto"/>
              <w:right w:val="single" w:sz="12" w:space="0" w:color="auto"/>
            </w:tcBorders>
            <w:vAlign w:val="center"/>
          </w:tcPr>
          <w:p w:rsidR="0037527E" w:rsidRPr="000F6262" w:rsidRDefault="0037527E" w:rsidP="00996E3F">
            <w:pPr>
              <w:jc w:val="center"/>
            </w:pPr>
            <w:r w:rsidRPr="000F6262">
              <w:rPr>
                <w:rFonts w:eastAsia="Calibri"/>
                <w:noProof/>
              </w:rPr>
              <w:t>17,50 TL/Örnek</w:t>
            </w:r>
          </w:p>
        </w:tc>
        <w:tc>
          <w:tcPr>
            <w:tcW w:w="923" w:type="pct"/>
            <w:tcBorders>
              <w:top w:val="single" w:sz="12" w:space="0" w:color="auto"/>
              <w:left w:val="single" w:sz="12" w:space="0" w:color="auto"/>
              <w:bottom w:val="single" w:sz="12" w:space="0" w:color="auto"/>
              <w:right w:val="single" w:sz="12" w:space="0" w:color="auto"/>
            </w:tcBorders>
            <w:vAlign w:val="center"/>
          </w:tcPr>
          <w:p w:rsidR="0037527E" w:rsidRPr="000F6262" w:rsidRDefault="0037527E" w:rsidP="00996E3F">
            <w:pPr>
              <w:jc w:val="center"/>
            </w:pPr>
            <w:r w:rsidRPr="000F6262">
              <w:rPr>
                <w:rFonts w:eastAsia="Calibri"/>
                <w:noProof/>
              </w:rPr>
              <w:t>24,50 TL/Örnek</w:t>
            </w:r>
          </w:p>
        </w:tc>
        <w:tc>
          <w:tcPr>
            <w:tcW w:w="921" w:type="pct"/>
            <w:tcBorders>
              <w:top w:val="single" w:sz="12" w:space="0" w:color="auto"/>
              <w:left w:val="single" w:sz="12" w:space="0" w:color="auto"/>
              <w:bottom w:val="single" w:sz="12" w:space="0" w:color="auto"/>
              <w:right w:val="single" w:sz="12" w:space="0" w:color="auto"/>
            </w:tcBorders>
            <w:vAlign w:val="center"/>
          </w:tcPr>
          <w:p w:rsidR="0037527E" w:rsidRPr="000F6262" w:rsidRDefault="0037527E" w:rsidP="00996E3F">
            <w:pPr>
              <w:jc w:val="center"/>
            </w:pPr>
            <w:r w:rsidRPr="000F6262">
              <w:rPr>
                <w:rFonts w:eastAsia="Calibri"/>
                <w:noProof/>
              </w:rPr>
              <w:t>35,00 TL/Örnek</w:t>
            </w:r>
          </w:p>
        </w:tc>
      </w:tr>
      <w:tr w:rsidR="0037527E" w:rsidRPr="000F6262" w:rsidTr="0037527E">
        <w:trPr>
          <w:trHeight w:val="318"/>
        </w:trPr>
        <w:tc>
          <w:tcPr>
            <w:tcW w:w="2141" w:type="pct"/>
            <w:tcBorders>
              <w:top w:val="single" w:sz="12" w:space="0" w:color="auto"/>
              <w:left w:val="single" w:sz="12" w:space="0" w:color="auto"/>
              <w:bottom w:val="single" w:sz="4" w:space="0" w:color="auto"/>
              <w:right w:val="single" w:sz="12" w:space="0" w:color="auto"/>
            </w:tcBorders>
            <w:vAlign w:val="center"/>
          </w:tcPr>
          <w:p w:rsidR="0037527E" w:rsidRPr="000F6262" w:rsidRDefault="0037527E" w:rsidP="00996E3F">
            <w:pPr>
              <w:spacing w:after="160" w:line="259" w:lineRule="auto"/>
              <w:jc w:val="both"/>
              <w:rPr>
                <w:rFonts w:eastAsia="Calibri"/>
                <w:b/>
                <w:noProof/>
              </w:rPr>
            </w:pPr>
            <w:r w:rsidRPr="000F6262">
              <w:rPr>
                <w:rFonts w:eastAsia="Calibri"/>
                <w:b/>
                <w:noProof/>
              </w:rPr>
              <w:t>Temas açısı ve yüzey gerilimi*</w:t>
            </w:r>
          </w:p>
        </w:tc>
        <w:tc>
          <w:tcPr>
            <w:tcW w:w="1015" w:type="pct"/>
            <w:tcBorders>
              <w:top w:val="single" w:sz="12" w:space="0" w:color="auto"/>
              <w:left w:val="single" w:sz="12" w:space="0" w:color="auto"/>
              <w:bottom w:val="single" w:sz="4" w:space="0" w:color="auto"/>
              <w:right w:val="single" w:sz="12" w:space="0" w:color="auto"/>
            </w:tcBorders>
            <w:vAlign w:val="center"/>
          </w:tcPr>
          <w:p w:rsidR="0037527E" w:rsidRPr="000F6262" w:rsidRDefault="0037527E" w:rsidP="00996E3F">
            <w:pPr>
              <w:jc w:val="center"/>
            </w:pPr>
          </w:p>
        </w:tc>
        <w:tc>
          <w:tcPr>
            <w:tcW w:w="923" w:type="pct"/>
            <w:tcBorders>
              <w:top w:val="single" w:sz="12" w:space="0" w:color="auto"/>
              <w:left w:val="single" w:sz="12" w:space="0" w:color="auto"/>
              <w:bottom w:val="single" w:sz="4" w:space="0" w:color="auto"/>
              <w:right w:val="single" w:sz="12" w:space="0" w:color="auto"/>
            </w:tcBorders>
            <w:vAlign w:val="center"/>
          </w:tcPr>
          <w:p w:rsidR="0037527E" w:rsidRPr="000F6262" w:rsidRDefault="0037527E" w:rsidP="00996E3F">
            <w:pPr>
              <w:jc w:val="center"/>
            </w:pPr>
          </w:p>
        </w:tc>
        <w:tc>
          <w:tcPr>
            <w:tcW w:w="921" w:type="pct"/>
            <w:tcBorders>
              <w:top w:val="single" w:sz="12" w:space="0" w:color="auto"/>
              <w:left w:val="single" w:sz="12" w:space="0" w:color="auto"/>
              <w:bottom w:val="single" w:sz="4" w:space="0" w:color="auto"/>
              <w:right w:val="single" w:sz="12" w:space="0" w:color="auto"/>
            </w:tcBorders>
            <w:vAlign w:val="center"/>
          </w:tcPr>
          <w:p w:rsidR="0037527E" w:rsidRPr="000F6262" w:rsidRDefault="0037527E" w:rsidP="00996E3F">
            <w:pPr>
              <w:jc w:val="center"/>
            </w:pPr>
          </w:p>
        </w:tc>
      </w:tr>
      <w:tr w:rsidR="0037527E" w:rsidRPr="000F6262" w:rsidTr="0037527E">
        <w:trPr>
          <w:trHeight w:val="318"/>
        </w:trPr>
        <w:tc>
          <w:tcPr>
            <w:tcW w:w="2141" w:type="pct"/>
            <w:tcBorders>
              <w:top w:val="single" w:sz="4" w:space="0" w:color="auto"/>
              <w:left w:val="single" w:sz="12" w:space="0" w:color="auto"/>
              <w:bottom w:val="single" w:sz="4" w:space="0" w:color="auto"/>
              <w:right w:val="single" w:sz="12" w:space="0" w:color="auto"/>
            </w:tcBorders>
            <w:vAlign w:val="center"/>
          </w:tcPr>
          <w:p w:rsidR="0037527E" w:rsidRPr="000F6262" w:rsidRDefault="0037527E" w:rsidP="00996E3F">
            <w:pPr>
              <w:jc w:val="center"/>
              <w:rPr>
                <w:rFonts w:eastAsia="Calibri"/>
                <w:b/>
                <w:noProof/>
              </w:rPr>
            </w:pPr>
            <w:r w:rsidRPr="000F6262">
              <w:rPr>
                <w:rFonts w:eastAsia="Calibri"/>
                <w:noProof/>
              </w:rPr>
              <w:t>Yüzeylerde temas açısı ölçümü*</w:t>
            </w:r>
          </w:p>
        </w:tc>
        <w:tc>
          <w:tcPr>
            <w:tcW w:w="1015" w:type="pct"/>
            <w:tcBorders>
              <w:top w:val="single" w:sz="4" w:space="0" w:color="auto"/>
              <w:left w:val="single" w:sz="12" w:space="0" w:color="auto"/>
              <w:bottom w:val="single" w:sz="4" w:space="0" w:color="auto"/>
              <w:right w:val="single" w:sz="12" w:space="0" w:color="auto"/>
            </w:tcBorders>
            <w:vAlign w:val="center"/>
          </w:tcPr>
          <w:p w:rsidR="0037527E" w:rsidRPr="000F6262" w:rsidRDefault="0037527E" w:rsidP="00996E3F">
            <w:pPr>
              <w:jc w:val="center"/>
            </w:pPr>
            <w:r w:rsidRPr="000F6262">
              <w:rPr>
                <w:rFonts w:eastAsia="Calibri"/>
                <w:noProof/>
              </w:rPr>
              <w:t>60,00 TL/Örnek</w:t>
            </w:r>
          </w:p>
        </w:tc>
        <w:tc>
          <w:tcPr>
            <w:tcW w:w="923" w:type="pct"/>
            <w:tcBorders>
              <w:top w:val="single" w:sz="4" w:space="0" w:color="auto"/>
              <w:left w:val="single" w:sz="12" w:space="0" w:color="auto"/>
              <w:bottom w:val="single" w:sz="4" w:space="0" w:color="auto"/>
              <w:right w:val="single" w:sz="12" w:space="0" w:color="auto"/>
            </w:tcBorders>
            <w:vAlign w:val="center"/>
          </w:tcPr>
          <w:p w:rsidR="0037527E" w:rsidRPr="000F6262" w:rsidRDefault="0037527E" w:rsidP="00996E3F">
            <w:pPr>
              <w:jc w:val="center"/>
            </w:pPr>
            <w:r w:rsidRPr="000F6262">
              <w:rPr>
                <w:rFonts w:eastAsia="Calibri"/>
                <w:noProof/>
              </w:rPr>
              <w:t>84,00  TL/Örnek</w:t>
            </w:r>
          </w:p>
        </w:tc>
        <w:tc>
          <w:tcPr>
            <w:tcW w:w="921" w:type="pct"/>
            <w:tcBorders>
              <w:top w:val="single" w:sz="4" w:space="0" w:color="auto"/>
              <w:left w:val="single" w:sz="12" w:space="0" w:color="auto"/>
              <w:bottom w:val="single" w:sz="4" w:space="0" w:color="auto"/>
              <w:right w:val="single" w:sz="12" w:space="0" w:color="auto"/>
            </w:tcBorders>
            <w:vAlign w:val="center"/>
          </w:tcPr>
          <w:p w:rsidR="0037527E" w:rsidRPr="000F6262" w:rsidRDefault="0037527E" w:rsidP="00996E3F">
            <w:pPr>
              <w:jc w:val="center"/>
            </w:pPr>
            <w:r w:rsidRPr="000F6262">
              <w:rPr>
                <w:rFonts w:eastAsia="Calibri"/>
                <w:noProof/>
              </w:rPr>
              <w:t>120,00 TL/Örnek</w:t>
            </w:r>
          </w:p>
        </w:tc>
      </w:tr>
      <w:tr w:rsidR="0037527E" w:rsidRPr="000F6262" w:rsidTr="0037527E">
        <w:trPr>
          <w:trHeight w:val="318"/>
        </w:trPr>
        <w:tc>
          <w:tcPr>
            <w:tcW w:w="2141" w:type="pct"/>
            <w:tcBorders>
              <w:top w:val="single" w:sz="4" w:space="0" w:color="auto"/>
              <w:left w:val="single" w:sz="12" w:space="0" w:color="auto"/>
              <w:bottom w:val="single" w:sz="4" w:space="0" w:color="auto"/>
              <w:right w:val="single" w:sz="12" w:space="0" w:color="auto"/>
            </w:tcBorders>
            <w:vAlign w:val="center"/>
          </w:tcPr>
          <w:p w:rsidR="0037527E" w:rsidRPr="000F6262" w:rsidRDefault="0037527E" w:rsidP="00996E3F">
            <w:pPr>
              <w:jc w:val="center"/>
              <w:rPr>
                <w:rFonts w:eastAsia="Calibri"/>
                <w:b/>
                <w:noProof/>
              </w:rPr>
            </w:pPr>
            <w:r w:rsidRPr="000F6262">
              <w:rPr>
                <w:rFonts w:eastAsia="Calibri"/>
                <w:noProof/>
              </w:rPr>
              <w:t>Yüzeylerde serbest yüzey enerjisi ölçümü*</w:t>
            </w:r>
            <w:r w:rsidRPr="000F6262">
              <w:rPr>
                <w:rFonts w:eastAsia="Calibri"/>
                <w:noProof/>
              </w:rPr>
              <w:tab/>
            </w:r>
          </w:p>
        </w:tc>
        <w:tc>
          <w:tcPr>
            <w:tcW w:w="1015" w:type="pct"/>
            <w:tcBorders>
              <w:top w:val="single" w:sz="4" w:space="0" w:color="auto"/>
              <w:left w:val="single" w:sz="12" w:space="0" w:color="auto"/>
              <w:bottom w:val="single" w:sz="4" w:space="0" w:color="auto"/>
              <w:right w:val="single" w:sz="12" w:space="0" w:color="auto"/>
            </w:tcBorders>
            <w:vAlign w:val="center"/>
          </w:tcPr>
          <w:p w:rsidR="0037527E" w:rsidRPr="000F6262" w:rsidRDefault="0037527E" w:rsidP="00996E3F">
            <w:pPr>
              <w:jc w:val="center"/>
            </w:pPr>
            <w:r w:rsidRPr="000F6262">
              <w:rPr>
                <w:rFonts w:eastAsia="Calibri"/>
                <w:noProof/>
              </w:rPr>
              <w:t>132,50 TL/Örnek</w:t>
            </w:r>
          </w:p>
        </w:tc>
        <w:tc>
          <w:tcPr>
            <w:tcW w:w="923" w:type="pct"/>
            <w:tcBorders>
              <w:top w:val="single" w:sz="4" w:space="0" w:color="auto"/>
              <w:left w:val="single" w:sz="12" w:space="0" w:color="auto"/>
              <w:bottom w:val="single" w:sz="4" w:space="0" w:color="auto"/>
              <w:right w:val="single" w:sz="12" w:space="0" w:color="auto"/>
            </w:tcBorders>
            <w:vAlign w:val="center"/>
          </w:tcPr>
          <w:p w:rsidR="0037527E" w:rsidRPr="000F6262" w:rsidRDefault="0037527E" w:rsidP="00996E3F">
            <w:pPr>
              <w:jc w:val="center"/>
            </w:pPr>
            <w:r w:rsidRPr="000F6262">
              <w:rPr>
                <w:rFonts w:eastAsia="Calibri"/>
                <w:noProof/>
              </w:rPr>
              <w:t>185,50  TL/Örnek</w:t>
            </w:r>
          </w:p>
        </w:tc>
        <w:tc>
          <w:tcPr>
            <w:tcW w:w="921" w:type="pct"/>
            <w:tcBorders>
              <w:top w:val="single" w:sz="4" w:space="0" w:color="auto"/>
              <w:left w:val="single" w:sz="12" w:space="0" w:color="auto"/>
              <w:bottom w:val="single" w:sz="4" w:space="0" w:color="auto"/>
              <w:right w:val="single" w:sz="12" w:space="0" w:color="auto"/>
            </w:tcBorders>
            <w:vAlign w:val="center"/>
          </w:tcPr>
          <w:p w:rsidR="0037527E" w:rsidRPr="000F6262" w:rsidRDefault="0037527E" w:rsidP="00996E3F">
            <w:pPr>
              <w:jc w:val="center"/>
            </w:pPr>
            <w:r w:rsidRPr="000F6262">
              <w:rPr>
                <w:rFonts w:eastAsia="Calibri"/>
                <w:noProof/>
              </w:rPr>
              <w:t>265,00 TL/Örnek</w:t>
            </w:r>
          </w:p>
        </w:tc>
      </w:tr>
      <w:tr w:rsidR="0037527E" w:rsidRPr="000F6262" w:rsidTr="0037527E">
        <w:trPr>
          <w:trHeight w:val="318"/>
        </w:trPr>
        <w:tc>
          <w:tcPr>
            <w:tcW w:w="2141" w:type="pct"/>
            <w:tcBorders>
              <w:top w:val="single" w:sz="4" w:space="0" w:color="auto"/>
              <w:left w:val="single" w:sz="12" w:space="0" w:color="auto"/>
              <w:bottom w:val="single" w:sz="4" w:space="0" w:color="auto"/>
              <w:right w:val="single" w:sz="12" w:space="0" w:color="auto"/>
            </w:tcBorders>
            <w:vAlign w:val="center"/>
          </w:tcPr>
          <w:p w:rsidR="0037527E" w:rsidRPr="000F6262" w:rsidRDefault="0037527E" w:rsidP="00996E3F">
            <w:pPr>
              <w:jc w:val="center"/>
              <w:rPr>
                <w:rFonts w:eastAsia="Calibri"/>
                <w:b/>
                <w:noProof/>
              </w:rPr>
            </w:pPr>
            <w:r w:rsidRPr="000F6262">
              <w:rPr>
                <w:rFonts w:eastAsia="Calibri"/>
                <w:noProof/>
              </w:rPr>
              <w:t>Sıvılarda yüzey gerilimi ölçümü*</w:t>
            </w:r>
          </w:p>
        </w:tc>
        <w:tc>
          <w:tcPr>
            <w:tcW w:w="1015" w:type="pct"/>
            <w:tcBorders>
              <w:top w:val="single" w:sz="4" w:space="0" w:color="auto"/>
              <w:left w:val="single" w:sz="12" w:space="0" w:color="auto"/>
              <w:bottom w:val="single" w:sz="4" w:space="0" w:color="auto"/>
              <w:right w:val="single" w:sz="12" w:space="0" w:color="auto"/>
            </w:tcBorders>
            <w:vAlign w:val="center"/>
          </w:tcPr>
          <w:p w:rsidR="0037527E" w:rsidRPr="000F6262" w:rsidRDefault="0037527E" w:rsidP="00996E3F">
            <w:pPr>
              <w:jc w:val="center"/>
            </w:pPr>
            <w:r w:rsidRPr="000F6262">
              <w:rPr>
                <w:rFonts w:eastAsia="Calibri"/>
                <w:noProof/>
              </w:rPr>
              <w:t>60,00 TL/Örnek</w:t>
            </w:r>
          </w:p>
        </w:tc>
        <w:tc>
          <w:tcPr>
            <w:tcW w:w="923" w:type="pct"/>
            <w:tcBorders>
              <w:top w:val="single" w:sz="4" w:space="0" w:color="auto"/>
              <w:left w:val="single" w:sz="12" w:space="0" w:color="auto"/>
              <w:bottom w:val="single" w:sz="4" w:space="0" w:color="auto"/>
              <w:right w:val="single" w:sz="12" w:space="0" w:color="auto"/>
            </w:tcBorders>
            <w:vAlign w:val="center"/>
          </w:tcPr>
          <w:p w:rsidR="0037527E" w:rsidRPr="000F6262" w:rsidRDefault="0037527E" w:rsidP="00996E3F">
            <w:pPr>
              <w:jc w:val="center"/>
            </w:pPr>
            <w:r w:rsidRPr="000F6262">
              <w:rPr>
                <w:rFonts w:eastAsia="Calibri"/>
                <w:noProof/>
              </w:rPr>
              <w:t>84,00  TL/Örnek</w:t>
            </w:r>
          </w:p>
        </w:tc>
        <w:tc>
          <w:tcPr>
            <w:tcW w:w="921" w:type="pct"/>
            <w:tcBorders>
              <w:top w:val="single" w:sz="4" w:space="0" w:color="auto"/>
              <w:left w:val="single" w:sz="12" w:space="0" w:color="auto"/>
              <w:bottom w:val="single" w:sz="4" w:space="0" w:color="auto"/>
              <w:right w:val="single" w:sz="12" w:space="0" w:color="auto"/>
            </w:tcBorders>
            <w:vAlign w:val="center"/>
          </w:tcPr>
          <w:p w:rsidR="0037527E" w:rsidRPr="000F6262" w:rsidRDefault="0037527E" w:rsidP="00996E3F">
            <w:pPr>
              <w:jc w:val="center"/>
            </w:pPr>
            <w:r w:rsidRPr="000F6262">
              <w:rPr>
                <w:rFonts w:eastAsia="Calibri"/>
                <w:noProof/>
              </w:rPr>
              <w:t>120,00 TL/Örnek</w:t>
            </w:r>
          </w:p>
        </w:tc>
      </w:tr>
      <w:tr w:rsidR="0037527E" w:rsidRPr="000F6262" w:rsidTr="0037527E">
        <w:trPr>
          <w:trHeight w:val="318"/>
        </w:trPr>
        <w:tc>
          <w:tcPr>
            <w:tcW w:w="2141" w:type="pct"/>
            <w:tcBorders>
              <w:top w:val="single" w:sz="4" w:space="0" w:color="auto"/>
              <w:left w:val="single" w:sz="12" w:space="0" w:color="auto"/>
              <w:bottom w:val="single" w:sz="4" w:space="0" w:color="auto"/>
              <w:right w:val="single" w:sz="12" w:space="0" w:color="auto"/>
            </w:tcBorders>
            <w:vAlign w:val="center"/>
          </w:tcPr>
          <w:p w:rsidR="0037527E" w:rsidRPr="000F6262" w:rsidRDefault="0037527E" w:rsidP="00996E3F">
            <w:pPr>
              <w:jc w:val="center"/>
              <w:rPr>
                <w:rFonts w:eastAsia="Calibri"/>
                <w:b/>
                <w:noProof/>
              </w:rPr>
            </w:pPr>
            <w:r w:rsidRPr="000F6262">
              <w:rPr>
                <w:rFonts w:eastAsia="Calibri"/>
                <w:noProof/>
              </w:rPr>
              <w:t>Sıvılarda yüzeyler arası gerilim ölçümü*</w:t>
            </w:r>
          </w:p>
        </w:tc>
        <w:tc>
          <w:tcPr>
            <w:tcW w:w="1015" w:type="pct"/>
            <w:tcBorders>
              <w:top w:val="single" w:sz="4" w:space="0" w:color="auto"/>
              <w:left w:val="single" w:sz="12" w:space="0" w:color="auto"/>
              <w:bottom w:val="single" w:sz="4" w:space="0" w:color="auto"/>
              <w:right w:val="single" w:sz="12" w:space="0" w:color="auto"/>
            </w:tcBorders>
            <w:vAlign w:val="center"/>
          </w:tcPr>
          <w:p w:rsidR="0037527E" w:rsidRPr="000F6262" w:rsidRDefault="0037527E" w:rsidP="00996E3F">
            <w:pPr>
              <w:jc w:val="center"/>
            </w:pPr>
            <w:r w:rsidRPr="000F6262">
              <w:rPr>
                <w:rFonts w:eastAsia="Calibri"/>
                <w:noProof/>
              </w:rPr>
              <w:t>65,00 TL/Örnek</w:t>
            </w:r>
          </w:p>
        </w:tc>
        <w:tc>
          <w:tcPr>
            <w:tcW w:w="923" w:type="pct"/>
            <w:tcBorders>
              <w:top w:val="single" w:sz="4" w:space="0" w:color="auto"/>
              <w:left w:val="single" w:sz="12" w:space="0" w:color="auto"/>
              <w:bottom w:val="single" w:sz="4" w:space="0" w:color="auto"/>
              <w:right w:val="single" w:sz="12" w:space="0" w:color="auto"/>
            </w:tcBorders>
            <w:vAlign w:val="center"/>
          </w:tcPr>
          <w:p w:rsidR="0037527E" w:rsidRPr="000F6262" w:rsidRDefault="0037527E" w:rsidP="00996E3F">
            <w:pPr>
              <w:jc w:val="center"/>
            </w:pPr>
            <w:r w:rsidRPr="000F6262">
              <w:rPr>
                <w:rFonts w:eastAsia="Calibri"/>
                <w:noProof/>
              </w:rPr>
              <w:t>91,00  TL/Örnek</w:t>
            </w:r>
          </w:p>
        </w:tc>
        <w:tc>
          <w:tcPr>
            <w:tcW w:w="921" w:type="pct"/>
            <w:tcBorders>
              <w:top w:val="single" w:sz="4" w:space="0" w:color="auto"/>
              <w:left w:val="single" w:sz="12" w:space="0" w:color="auto"/>
              <w:bottom w:val="single" w:sz="4" w:space="0" w:color="auto"/>
              <w:right w:val="single" w:sz="12" w:space="0" w:color="auto"/>
            </w:tcBorders>
            <w:vAlign w:val="center"/>
          </w:tcPr>
          <w:p w:rsidR="0037527E" w:rsidRPr="000F6262" w:rsidRDefault="0037527E" w:rsidP="00996E3F">
            <w:pPr>
              <w:jc w:val="center"/>
            </w:pPr>
            <w:r w:rsidRPr="000F6262">
              <w:rPr>
                <w:rFonts w:eastAsia="Calibri"/>
                <w:noProof/>
              </w:rPr>
              <w:t>130,00 TL/Örnek</w:t>
            </w:r>
          </w:p>
        </w:tc>
      </w:tr>
      <w:tr w:rsidR="0037527E" w:rsidRPr="000F6262" w:rsidTr="0037527E">
        <w:trPr>
          <w:trHeight w:val="318"/>
        </w:trPr>
        <w:tc>
          <w:tcPr>
            <w:tcW w:w="2141" w:type="pct"/>
            <w:tcBorders>
              <w:top w:val="single" w:sz="4" w:space="0" w:color="auto"/>
              <w:left w:val="single" w:sz="12" w:space="0" w:color="auto"/>
              <w:bottom w:val="single" w:sz="12" w:space="0" w:color="auto"/>
              <w:right w:val="single" w:sz="12" w:space="0" w:color="auto"/>
            </w:tcBorders>
            <w:vAlign w:val="center"/>
          </w:tcPr>
          <w:p w:rsidR="0037527E" w:rsidRPr="000F6262" w:rsidRDefault="0037527E" w:rsidP="00996E3F">
            <w:pPr>
              <w:jc w:val="center"/>
              <w:rPr>
                <w:rFonts w:eastAsia="Calibri"/>
                <w:b/>
                <w:noProof/>
              </w:rPr>
            </w:pPr>
            <w:r w:rsidRPr="000F6262">
              <w:rPr>
                <w:rFonts w:eastAsia="Calibri"/>
                <w:noProof/>
              </w:rPr>
              <w:t>Optik profilometre ile yüzey analizi*</w:t>
            </w:r>
          </w:p>
        </w:tc>
        <w:tc>
          <w:tcPr>
            <w:tcW w:w="1015" w:type="pct"/>
            <w:tcBorders>
              <w:top w:val="single" w:sz="4" w:space="0" w:color="auto"/>
              <w:left w:val="single" w:sz="12" w:space="0" w:color="auto"/>
              <w:bottom w:val="single" w:sz="12" w:space="0" w:color="auto"/>
              <w:right w:val="single" w:sz="12" w:space="0" w:color="auto"/>
            </w:tcBorders>
            <w:vAlign w:val="center"/>
          </w:tcPr>
          <w:p w:rsidR="0037527E" w:rsidRPr="000F6262" w:rsidRDefault="0037527E" w:rsidP="00996E3F">
            <w:pPr>
              <w:jc w:val="center"/>
            </w:pPr>
            <w:r w:rsidRPr="000F6262">
              <w:rPr>
                <w:rFonts w:eastAsia="Calibri"/>
                <w:noProof/>
              </w:rPr>
              <w:t>50,00 TL/Örnek</w:t>
            </w:r>
          </w:p>
        </w:tc>
        <w:tc>
          <w:tcPr>
            <w:tcW w:w="923" w:type="pct"/>
            <w:tcBorders>
              <w:top w:val="single" w:sz="4" w:space="0" w:color="auto"/>
              <w:left w:val="single" w:sz="12" w:space="0" w:color="auto"/>
              <w:bottom w:val="single" w:sz="12" w:space="0" w:color="auto"/>
              <w:right w:val="single" w:sz="12" w:space="0" w:color="auto"/>
            </w:tcBorders>
            <w:vAlign w:val="center"/>
          </w:tcPr>
          <w:p w:rsidR="0037527E" w:rsidRPr="000F6262" w:rsidRDefault="0037527E" w:rsidP="00996E3F">
            <w:pPr>
              <w:jc w:val="center"/>
            </w:pPr>
            <w:r w:rsidRPr="000F6262">
              <w:rPr>
                <w:rFonts w:eastAsia="Calibri"/>
                <w:noProof/>
              </w:rPr>
              <w:t>70,00  TL/Örnek</w:t>
            </w:r>
          </w:p>
        </w:tc>
        <w:tc>
          <w:tcPr>
            <w:tcW w:w="921" w:type="pct"/>
            <w:tcBorders>
              <w:top w:val="single" w:sz="4" w:space="0" w:color="auto"/>
              <w:left w:val="single" w:sz="12" w:space="0" w:color="auto"/>
              <w:bottom w:val="single" w:sz="12" w:space="0" w:color="auto"/>
              <w:right w:val="single" w:sz="12" w:space="0" w:color="auto"/>
            </w:tcBorders>
            <w:vAlign w:val="center"/>
          </w:tcPr>
          <w:p w:rsidR="0037527E" w:rsidRPr="000F6262" w:rsidRDefault="0037527E" w:rsidP="00996E3F">
            <w:pPr>
              <w:jc w:val="center"/>
            </w:pPr>
            <w:r w:rsidRPr="000F6262">
              <w:rPr>
                <w:rFonts w:eastAsia="Calibri"/>
                <w:noProof/>
              </w:rPr>
              <w:t>100,00 TL/Örnek</w:t>
            </w:r>
          </w:p>
        </w:tc>
      </w:tr>
      <w:tr w:rsidR="0037527E" w:rsidRPr="000F6262" w:rsidTr="0037527E">
        <w:trPr>
          <w:trHeight w:val="318"/>
        </w:trPr>
        <w:tc>
          <w:tcPr>
            <w:tcW w:w="2141" w:type="pct"/>
            <w:tcBorders>
              <w:top w:val="single" w:sz="12" w:space="0" w:color="auto"/>
              <w:left w:val="single" w:sz="12" w:space="0" w:color="auto"/>
              <w:bottom w:val="single" w:sz="12" w:space="0" w:color="auto"/>
              <w:right w:val="single" w:sz="12" w:space="0" w:color="auto"/>
            </w:tcBorders>
            <w:vAlign w:val="center"/>
          </w:tcPr>
          <w:p w:rsidR="0037527E" w:rsidRPr="000F6262" w:rsidRDefault="0037527E" w:rsidP="00996E3F">
            <w:pPr>
              <w:jc w:val="both"/>
              <w:rPr>
                <w:rFonts w:eastAsia="Calibri"/>
                <w:b/>
                <w:noProof/>
              </w:rPr>
            </w:pPr>
            <w:r w:rsidRPr="000F6262">
              <w:rPr>
                <w:rFonts w:eastAsia="Calibri"/>
                <w:b/>
                <w:noProof/>
              </w:rPr>
              <w:t>AAS-1 Alevli Atomik Absorpsiyon Spektrofotometresi</w:t>
            </w:r>
            <w:r w:rsidR="000E4F41">
              <w:rPr>
                <w:rFonts w:eastAsia="Calibri"/>
                <w:b/>
                <w:noProof/>
              </w:rPr>
              <w:t xml:space="preserve"> </w:t>
            </w:r>
            <w:r w:rsidR="000E4F41" w:rsidRPr="000F6262">
              <w:rPr>
                <w:rFonts w:eastAsia="Calibri"/>
                <w:noProof/>
              </w:rPr>
              <w:t>**</w:t>
            </w:r>
          </w:p>
        </w:tc>
        <w:tc>
          <w:tcPr>
            <w:tcW w:w="1015" w:type="pct"/>
            <w:tcBorders>
              <w:top w:val="single" w:sz="12" w:space="0" w:color="auto"/>
              <w:left w:val="single" w:sz="12" w:space="0" w:color="auto"/>
              <w:bottom w:val="single" w:sz="12" w:space="0" w:color="auto"/>
              <w:right w:val="single" w:sz="12" w:space="0" w:color="auto"/>
            </w:tcBorders>
            <w:vAlign w:val="center"/>
          </w:tcPr>
          <w:p w:rsidR="0037527E" w:rsidRPr="000F6262" w:rsidRDefault="0037527E" w:rsidP="00996E3F">
            <w:pPr>
              <w:spacing w:after="160" w:line="259" w:lineRule="auto"/>
              <w:jc w:val="center"/>
              <w:rPr>
                <w:rFonts w:eastAsia="Calibri"/>
                <w:noProof/>
              </w:rPr>
            </w:pPr>
            <w:r w:rsidRPr="000F6262">
              <w:rPr>
                <w:rFonts w:eastAsia="Calibri"/>
                <w:noProof/>
              </w:rPr>
              <w:t>100,00 TL/Örnek</w:t>
            </w:r>
          </w:p>
        </w:tc>
        <w:tc>
          <w:tcPr>
            <w:tcW w:w="923" w:type="pct"/>
            <w:tcBorders>
              <w:top w:val="single" w:sz="12" w:space="0" w:color="auto"/>
              <w:left w:val="single" w:sz="12" w:space="0" w:color="auto"/>
              <w:bottom w:val="single" w:sz="12" w:space="0" w:color="auto"/>
              <w:right w:val="single" w:sz="12" w:space="0" w:color="auto"/>
            </w:tcBorders>
            <w:vAlign w:val="center"/>
          </w:tcPr>
          <w:p w:rsidR="0037527E" w:rsidRPr="000F6262" w:rsidRDefault="0037527E" w:rsidP="00996E3F">
            <w:pPr>
              <w:spacing w:after="160" w:line="259" w:lineRule="auto"/>
              <w:jc w:val="center"/>
              <w:rPr>
                <w:rFonts w:eastAsia="Calibri"/>
                <w:noProof/>
              </w:rPr>
            </w:pPr>
            <w:r w:rsidRPr="000F6262">
              <w:rPr>
                <w:rFonts w:eastAsia="Calibri"/>
                <w:noProof/>
              </w:rPr>
              <w:t>140,00  TL/Örnek</w:t>
            </w:r>
          </w:p>
        </w:tc>
        <w:tc>
          <w:tcPr>
            <w:tcW w:w="921" w:type="pct"/>
            <w:tcBorders>
              <w:top w:val="single" w:sz="12" w:space="0" w:color="auto"/>
              <w:left w:val="single" w:sz="12" w:space="0" w:color="auto"/>
              <w:bottom w:val="single" w:sz="12" w:space="0" w:color="auto"/>
              <w:right w:val="single" w:sz="12" w:space="0" w:color="auto"/>
            </w:tcBorders>
            <w:vAlign w:val="center"/>
          </w:tcPr>
          <w:p w:rsidR="0037527E" w:rsidRPr="000F6262" w:rsidRDefault="0037527E" w:rsidP="00996E3F">
            <w:pPr>
              <w:spacing w:after="160" w:line="259" w:lineRule="auto"/>
              <w:jc w:val="center"/>
              <w:rPr>
                <w:rFonts w:eastAsia="Calibri"/>
                <w:noProof/>
              </w:rPr>
            </w:pPr>
            <w:r w:rsidRPr="000F6262">
              <w:rPr>
                <w:rFonts w:eastAsia="Calibri"/>
                <w:noProof/>
              </w:rPr>
              <w:t>200,00 TL/Örnek</w:t>
            </w:r>
          </w:p>
        </w:tc>
      </w:tr>
      <w:tr w:rsidR="0037527E" w:rsidRPr="000F6262" w:rsidTr="0037527E">
        <w:trPr>
          <w:trHeight w:val="318"/>
        </w:trPr>
        <w:tc>
          <w:tcPr>
            <w:tcW w:w="2141" w:type="pct"/>
            <w:tcBorders>
              <w:top w:val="single" w:sz="12" w:space="0" w:color="auto"/>
              <w:left w:val="single" w:sz="12" w:space="0" w:color="auto"/>
              <w:bottom w:val="single" w:sz="12" w:space="0" w:color="auto"/>
              <w:right w:val="single" w:sz="12" w:space="0" w:color="auto"/>
            </w:tcBorders>
            <w:vAlign w:val="center"/>
          </w:tcPr>
          <w:p w:rsidR="0037527E" w:rsidRPr="000F6262" w:rsidRDefault="0037527E" w:rsidP="00996E3F">
            <w:pPr>
              <w:jc w:val="both"/>
              <w:rPr>
                <w:rFonts w:eastAsia="Calibri"/>
                <w:b/>
                <w:noProof/>
              </w:rPr>
            </w:pPr>
            <w:r w:rsidRPr="000F6262">
              <w:rPr>
                <w:rFonts w:eastAsia="Calibri"/>
                <w:b/>
                <w:noProof/>
              </w:rPr>
              <w:t>AAS-2 Grefit Fırınlı Atomik Absorpsiyon Spektrometresi ( %65 Suprapure)</w:t>
            </w:r>
            <w:r w:rsidR="000E4F41">
              <w:rPr>
                <w:rFonts w:eastAsia="Calibri"/>
                <w:b/>
                <w:noProof/>
              </w:rPr>
              <w:t xml:space="preserve"> </w:t>
            </w:r>
            <w:r w:rsidR="000E4F41" w:rsidRPr="000F6262">
              <w:rPr>
                <w:rFonts w:eastAsia="Calibri"/>
                <w:noProof/>
              </w:rPr>
              <w:t>**</w:t>
            </w:r>
          </w:p>
        </w:tc>
        <w:tc>
          <w:tcPr>
            <w:tcW w:w="1015" w:type="pct"/>
            <w:tcBorders>
              <w:top w:val="single" w:sz="12" w:space="0" w:color="auto"/>
              <w:left w:val="single" w:sz="12" w:space="0" w:color="auto"/>
              <w:bottom w:val="single" w:sz="12" w:space="0" w:color="auto"/>
              <w:right w:val="single" w:sz="12" w:space="0" w:color="auto"/>
            </w:tcBorders>
            <w:vAlign w:val="center"/>
          </w:tcPr>
          <w:p w:rsidR="0037527E" w:rsidRPr="000F6262" w:rsidRDefault="0037527E" w:rsidP="00996E3F">
            <w:pPr>
              <w:jc w:val="center"/>
            </w:pPr>
            <w:r w:rsidRPr="000F6262">
              <w:rPr>
                <w:rFonts w:eastAsia="Calibri"/>
                <w:noProof/>
              </w:rPr>
              <w:t>125,00 TL/Örnek</w:t>
            </w:r>
          </w:p>
        </w:tc>
        <w:tc>
          <w:tcPr>
            <w:tcW w:w="923" w:type="pct"/>
            <w:tcBorders>
              <w:top w:val="single" w:sz="12" w:space="0" w:color="auto"/>
              <w:left w:val="single" w:sz="12" w:space="0" w:color="auto"/>
              <w:bottom w:val="single" w:sz="12" w:space="0" w:color="auto"/>
              <w:right w:val="single" w:sz="12" w:space="0" w:color="auto"/>
            </w:tcBorders>
            <w:vAlign w:val="center"/>
          </w:tcPr>
          <w:p w:rsidR="0037527E" w:rsidRPr="000F6262" w:rsidRDefault="0037527E" w:rsidP="00996E3F">
            <w:pPr>
              <w:jc w:val="center"/>
            </w:pPr>
            <w:r w:rsidRPr="000F6262">
              <w:rPr>
                <w:rFonts w:eastAsia="Calibri"/>
                <w:noProof/>
              </w:rPr>
              <w:t>175,00  TL/Örnek</w:t>
            </w:r>
          </w:p>
        </w:tc>
        <w:tc>
          <w:tcPr>
            <w:tcW w:w="921" w:type="pct"/>
            <w:tcBorders>
              <w:top w:val="single" w:sz="12" w:space="0" w:color="auto"/>
              <w:left w:val="single" w:sz="12" w:space="0" w:color="auto"/>
              <w:bottom w:val="single" w:sz="12" w:space="0" w:color="auto"/>
              <w:right w:val="single" w:sz="12" w:space="0" w:color="auto"/>
            </w:tcBorders>
            <w:vAlign w:val="center"/>
          </w:tcPr>
          <w:p w:rsidR="0037527E" w:rsidRPr="000F6262" w:rsidRDefault="0037527E" w:rsidP="00996E3F">
            <w:pPr>
              <w:jc w:val="center"/>
            </w:pPr>
            <w:r w:rsidRPr="000F6262">
              <w:rPr>
                <w:rFonts w:eastAsia="Calibri"/>
                <w:noProof/>
              </w:rPr>
              <w:t>250,00 TL/Örnek</w:t>
            </w:r>
          </w:p>
        </w:tc>
      </w:tr>
      <w:tr w:rsidR="0037527E" w:rsidRPr="000F6262" w:rsidTr="0037527E">
        <w:trPr>
          <w:trHeight w:val="318"/>
        </w:trPr>
        <w:tc>
          <w:tcPr>
            <w:tcW w:w="2141" w:type="pct"/>
            <w:tcBorders>
              <w:top w:val="single" w:sz="12" w:space="0" w:color="auto"/>
              <w:left w:val="single" w:sz="12" w:space="0" w:color="auto"/>
              <w:bottom w:val="single" w:sz="12" w:space="0" w:color="auto"/>
              <w:right w:val="single" w:sz="12" w:space="0" w:color="auto"/>
            </w:tcBorders>
            <w:vAlign w:val="center"/>
          </w:tcPr>
          <w:p w:rsidR="0037527E" w:rsidRPr="000F6262" w:rsidRDefault="0037527E" w:rsidP="00996E3F">
            <w:pPr>
              <w:jc w:val="both"/>
              <w:rPr>
                <w:rFonts w:eastAsia="Calibri"/>
                <w:b/>
                <w:noProof/>
              </w:rPr>
            </w:pPr>
            <w:r w:rsidRPr="000F6262">
              <w:rPr>
                <w:rFonts w:eastAsia="Calibri"/>
                <w:b/>
                <w:noProof/>
              </w:rPr>
              <w:t>AAS-3 Hidrür Oluşturmalı Atomik Absorpsiyon   Spektrometresi ( %65 Suprapure)</w:t>
            </w:r>
            <w:r w:rsidR="000E4F41">
              <w:rPr>
                <w:rFonts w:eastAsia="Calibri"/>
                <w:b/>
                <w:noProof/>
              </w:rPr>
              <w:t xml:space="preserve"> </w:t>
            </w:r>
            <w:r w:rsidR="000E4F41" w:rsidRPr="000F6262">
              <w:rPr>
                <w:rFonts w:eastAsia="Calibri"/>
                <w:noProof/>
              </w:rPr>
              <w:t>**</w:t>
            </w:r>
          </w:p>
        </w:tc>
        <w:tc>
          <w:tcPr>
            <w:tcW w:w="1015" w:type="pct"/>
            <w:tcBorders>
              <w:top w:val="single" w:sz="12" w:space="0" w:color="auto"/>
              <w:left w:val="single" w:sz="12" w:space="0" w:color="auto"/>
              <w:bottom w:val="single" w:sz="12" w:space="0" w:color="auto"/>
              <w:right w:val="single" w:sz="12" w:space="0" w:color="auto"/>
            </w:tcBorders>
            <w:vAlign w:val="center"/>
          </w:tcPr>
          <w:p w:rsidR="0037527E" w:rsidRPr="000F6262" w:rsidRDefault="0037527E" w:rsidP="00996E3F">
            <w:pPr>
              <w:jc w:val="center"/>
            </w:pPr>
            <w:r w:rsidRPr="000F6262">
              <w:rPr>
                <w:rFonts w:eastAsia="Calibri"/>
                <w:noProof/>
              </w:rPr>
              <w:t>150,00 TL/Örnek</w:t>
            </w:r>
          </w:p>
        </w:tc>
        <w:tc>
          <w:tcPr>
            <w:tcW w:w="923" w:type="pct"/>
            <w:tcBorders>
              <w:top w:val="single" w:sz="12" w:space="0" w:color="auto"/>
              <w:left w:val="single" w:sz="12" w:space="0" w:color="auto"/>
              <w:bottom w:val="single" w:sz="12" w:space="0" w:color="auto"/>
              <w:right w:val="single" w:sz="12" w:space="0" w:color="auto"/>
            </w:tcBorders>
            <w:vAlign w:val="center"/>
          </w:tcPr>
          <w:p w:rsidR="0037527E" w:rsidRPr="000F6262" w:rsidRDefault="0037527E" w:rsidP="00996E3F">
            <w:pPr>
              <w:jc w:val="center"/>
            </w:pPr>
            <w:r w:rsidRPr="000F6262">
              <w:rPr>
                <w:rFonts w:eastAsia="Calibri"/>
                <w:noProof/>
              </w:rPr>
              <w:t>210,00 TL/Örnek</w:t>
            </w:r>
          </w:p>
        </w:tc>
        <w:tc>
          <w:tcPr>
            <w:tcW w:w="921" w:type="pct"/>
            <w:tcBorders>
              <w:top w:val="single" w:sz="12" w:space="0" w:color="auto"/>
              <w:left w:val="single" w:sz="12" w:space="0" w:color="auto"/>
              <w:bottom w:val="single" w:sz="12" w:space="0" w:color="auto"/>
              <w:right w:val="single" w:sz="12" w:space="0" w:color="auto"/>
            </w:tcBorders>
            <w:vAlign w:val="center"/>
          </w:tcPr>
          <w:p w:rsidR="0037527E" w:rsidRPr="000F6262" w:rsidRDefault="0037527E" w:rsidP="00996E3F">
            <w:pPr>
              <w:jc w:val="center"/>
            </w:pPr>
            <w:r w:rsidRPr="000F6262">
              <w:rPr>
                <w:rFonts w:eastAsia="Calibri"/>
                <w:noProof/>
              </w:rPr>
              <w:t>300,00 TL/Örnek</w:t>
            </w:r>
          </w:p>
        </w:tc>
      </w:tr>
      <w:tr w:rsidR="0037527E" w:rsidRPr="000F6262" w:rsidTr="0037527E">
        <w:trPr>
          <w:trHeight w:val="318"/>
        </w:trPr>
        <w:tc>
          <w:tcPr>
            <w:tcW w:w="2141" w:type="pct"/>
            <w:tcBorders>
              <w:top w:val="single" w:sz="12" w:space="0" w:color="auto"/>
              <w:left w:val="single" w:sz="12" w:space="0" w:color="auto"/>
              <w:bottom w:val="single" w:sz="12" w:space="0" w:color="auto"/>
              <w:right w:val="single" w:sz="12" w:space="0" w:color="auto"/>
            </w:tcBorders>
            <w:vAlign w:val="center"/>
          </w:tcPr>
          <w:p w:rsidR="0037527E" w:rsidRPr="000F6262" w:rsidRDefault="0037527E" w:rsidP="00996E3F">
            <w:pPr>
              <w:jc w:val="both"/>
              <w:rPr>
                <w:rFonts w:eastAsia="Calibri"/>
                <w:b/>
                <w:noProof/>
              </w:rPr>
            </w:pPr>
            <w:r w:rsidRPr="000F6262">
              <w:rPr>
                <w:rFonts w:eastAsia="Calibri"/>
                <w:b/>
                <w:noProof/>
              </w:rPr>
              <w:t>Boyar Madde Analizleri ve Raporlanması</w:t>
            </w:r>
          </w:p>
        </w:tc>
        <w:tc>
          <w:tcPr>
            <w:tcW w:w="1015" w:type="pct"/>
            <w:tcBorders>
              <w:top w:val="single" w:sz="12" w:space="0" w:color="auto"/>
              <w:left w:val="single" w:sz="12" w:space="0" w:color="auto"/>
              <w:bottom w:val="single" w:sz="12" w:space="0" w:color="auto"/>
              <w:right w:val="single" w:sz="12" w:space="0" w:color="auto"/>
            </w:tcBorders>
            <w:vAlign w:val="center"/>
          </w:tcPr>
          <w:p w:rsidR="0037527E" w:rsidRPr="000F6262" w:rsidRDefault="0037527E" w:rsidP="00996E3F">
            <w:pPr>
              <w:jc w:val="center"/>
              <w:rPr>
                <w:rFonts w:eastAsia="Calibri"/>
                <w:noProof/>
              </w:rPr>
            </w:pPr>
            <w:r w:rsidRPr="000F6262">
              <w:rPr>
                <w:rFonts w:eastAsia="Calibri"/>
                <w:noProof/>
              </w:rPr>
              <w:t>1500,00 TL/Örnek</w:t>
            </w:r>
          </w:p>
        </w:tc>
        <w:tc>
          <w:tcPr>
            <w:tcW w:w="923" w:type="pct"/>
            <w:tcBorders>
              <w:top w:val="single" w:sz="12" w:space="0" w:color="auto"/>
              <w:left w:val="single" w:sz="12" w:space="0" w:color="auto"/>
              <w:bottom w:val="single" w:sz="12" w:space="0" w:color="auto"/>
              <w:right w:val="single" w:sz="12" w:space="0" w:color="auto"/>
            </w:tcBorders>
            <w:vAlign w:val="center"/>
          </w:tcPr>
          <w:p w:rsidR="0037527E" w:rsidRPr="000F6262" w:rsidRDefault="0037527E" w:rsidP="00996E3F">
            <w:pPr>
              <w:jc w:val="center"/>
              <w:rPr>
                <w:rFonts w:eastAsia="Calibri"/>
                <w:noProof/>
              </w:rPr>
            </w:pPr>
            <w:r w:rsidRPr="000F6262">
              <w:rPr>
                <w:rFonts w:eastAsia="Calibri"/>
                <w:noProof/>
              </w:rPr>
              <w:t>2100,00 TL/Örnek</w:t>
            </w:r>
          </w:p>
        </w:tc>
        <w:tc>
          <w:tcPr>
            <w:tcW w:w="921" w:type="pct"/>
            <w:tcBorders>
              <w:top w:val="single" w:sz="12" w:space="0" w:color="auto"/>
              <w:left w:val="single" w:sz="12" w:space="0" w:color="auto"/>
              <w:bottom w:val="single" w:sz="12" w:space="0" w:color="auto"/>
              <w:right w:val="single" w:sz="12" w:space="0" w:color="auto"/>
            </w:tcBorders>
            <w:vAlign w:val="center"/>
          </w:tcPr>
          <w:p w:rsidR="0037527E" w:rsidRPr="000F6262" w:rsidRDefault="0037527E" w:rsidP="00996E3F">
            <w:pPr>
              <w:jc w:val="center"/>
              <w:rPr>
                <w:rFonts w:eastAsia="Calibri"/>
                <w:noProof/>
              </w:rPr>
            </w:pPr>
            <w:r w:rsidRPr="000F6262">
              <w:rPr>
                <w:rFonts w:eastAsia="Calibri"/>
                <w:noProof/>
              </w:rPr>
              <w:t>3000,00 TL/Örnek</w:t>
            </w:r>
          </w:p>
        </w:tc>
      </w:tr>
    </w:tbl>
    <w:p w:rsidR="0037527E" w:rsidRDefault="0037527E"/>
    <w:p w:rsidR="006132B4" w:rsidRDefault="006132B4" w:rsidP="006132B4">
      <w:pPr>
        <w:spacing w:after="160" w:line="259" w:lineRule="auto"/>
        <w:jc w:val="both"/>
        <w:rPr>
          <w:rFonts w:eastAsia="Calibri"/>
          <w:noProof/>
          <w:sz w:val="24"/>
          <w:szCs w:val="24"/>
        </w:rPr>
      </w:pPr>
    </w:p>
    <w:p w:rsidR="006132B4" w:rsidRPr="000F6262" w:rsidRDefault="006132B4" w:rsidP="006132B4">
      <w:pPr>
        <w:spacing w:after="160" w:line="259" w:lineRule="auto"/>
        <w:jc w:val="both"/>
        <w:rPr>
          <w:rFonts w:eastAsia="Calibri"/>
          <w:noProof/>
          <w:sz w:val="24"/>
          <w:szCs w:val="24"/>
        </w:rPr>
      </w:pPr>
      <w:r w:rsidRPr="000F6262">
        <w:rPr>
          <w:rFonts w:eastAsia="Calibri"/>
          <w:noProof/>
          <w:sz w:val="24"/>
          <w:szCs w:val="24"/>
        </w:rPr>
        <w:t xml:space="preserve">* </w:t>
      </w:r>
      <w:r w:rsidRPr="000F6262">
        <w:rPr>
          <w:rFonts w:eastAsia="Calibri"/>
          <w:noProof/>
          <w:sz w:val="24"/>
          <w:szCs w:val="24"/>
        </w:rPr>
        <w:tab/>
        <w:t>Kurum içi desteklemelerde, Uludağ Üniversitesi Bilimsel Araştırma Projeleri (BAP) kapsamındaki  hizmet alımı taleplerinde %50, kurum dışı (TUBİTAK,Avrupa Birliği, SANTEZ vb) destekli projelerde  üniversitemiz personeli tarafından yürütülen projeler kapsamında hizmet alımlarında %30 indirim uygulanmaktadır. Belirtilen ücrete % 18 KDV dahil değildir.</w:t>
      </w:r>
    </w:p>
    <w:p w:rsidR="006132B4" w:rsidRPr="000F6262" w:rsidRDefault="006132B4" w:rsidP="006132B4">
      <w:pPr>
        <w:spacing w:after="160" w:line="259" w:lineRule="auto"/>
        <w:jc w:val="both"/>
        <w:rPr>
          <w:rFonts w:eastAsia="Calibri"/>
          <w:noProof/>
          <w:sz w:val="24"/>
          <w:szCs w:val="24"/>
        </w:rPr>
      </w:pPr>
      <w:r w:rsidRPr="000F6262">
        <w:rPr>
          <w:rFonts w:eastAsia="Calibri"/>
          <w:noProof/>
          <w:sz w:val="24"/>
          <w:szCs w:val="24"/>
        </w:rPr>
        <w:t xml:space="preserve">** </w:t>
      </w:r>
      <w:r w:rsidRPr="000F6262">
        <w:rPr>
          <w:rFonts w:eastAsia="Calibri"/>
          <w:noProof/>
          <w:sz w:val="24"/>
          <w:szCs w:val="24"/>
        </w:rPr>
        <w:tab/>
        <w:t xml:space="preserve">Önemli Not: Rutin analizler için sadece sertifikalı kalibrasyon doğrulama çözeltisi ile kontrol yapılacaktır. </w:t>
      </w:r>
    </w:p>
    <w:p w:rsidR="006132B4" w:rsidRPr="000F6262" w:rsidRDefault="006132B4" w:rsidP="006132B4">
      <w:pPr>
        <w:spacing w:after="160" w:line="259" w:lineRule="auto"/>
        <w:ind w:firstLine="708"/>
        <w:jc w:val="both"/>
        <w:rPr>
          <w:rFonts w:eastAsia="Calibri"/>
          <w:noProof/>
          <w:sz w:val="24"/>
          <w:szCs w:val="24"/>
        </w:rPr>
      </w:pPr>
      <w:r w:rsidRPr="000F6262">
        <w:rPr>
          <w:rFonts w:eastAsia="Calibri"/>
          <w:noProof/>
          <w:sz w:val="24"/>
          <w:szCs w:val="24"/>
        </w:rPr>
        <w:t>Cihazda eser ve ultra eser düzeyde element analizleri yapılacak olup; seyreltmeler söz konusu olduğunda analiz ücretinin yarısına kadar ilave ücret talep edilecektir.</w:t>
      </w:r>
    </w:p>
    <w:p w:rsidR="006132B4" w:rsidRPr="000F6262" w:rsidRDefault="006132B4" w:rsidP="006132B4">
      <w:pPr>
        <w:spacing w:after="160" w:line="259" w:lineRule="auto"/>
        <w:ind w:firstLine="708"/>
        <w:jc w:val="both"/>
        <w:rPr>
          <w:rFonts w:eastAsia="Calibri"/>
          <w:noProof/>
          <w:sz w:val="24"/>
          <w:szCs w:val="24"/>
        </w:rPr>
      </w:pPr>
      <w:r w:rsidRPr="000F6262">
        <w:rPr>
          <w:rFonts w:eastAsia="Calibri"/>
          <w:noProof/>
          <w:sz w:val="24"/>
          <w:szCs w:val="24"/>
        </w:rPr>
        <w:t xml:space="preserve">Analiz, ilgili standardın laboratuvarda olup olmadığına; doğrulama çözeltisinin element içeriğine göre değişecektir. Standart ve referans gönderilmesi gerekebilecektir. Standart referans malzeme yoksa yüzde geri kazanım üzerinden hesaplama yapılabilecektir.   </w:t>
      </w:r>
    </w:p>
    <w:p w:rsidR="006132B4" w:rsidRPr="000F6262" w:rsidRDefault="006132B4" w:rsidP="006132B4">
      <w:pPr>
        <w:spacing w:after="160" w:line="259" w:lineRule="auto"/>
        <w:ind w:firstLine="708"/>
        <w:jc w:val="both"/>
        <w:rPr>
          <w:rFonts w:eastAsia="Calibri"/>
          <w:noProof/>
          <w:sz w:val="24"/>
          <w:szCs w:val="24"/>
        </w:rPr>
      </w:pPr>
      <w:r w:rsidRPr="000F6262">
        <w:rPr>
          <w:rFonts w:eastAsia="Calibri"/>
          <w:noProof/>
          <w:sz w:val="24"/>
          <w:szCs w:val="24"/>
        </w:rPr>
        <w:lastRenderedPageBreak/>
        <w:t>Belir</w:t>
      </w:r>
      <w:r w:rsidR="006E6B11">
        <w:rPr>
          <w:rFonts w:eastAsia="Calibri"/>
          <w:noProof/>
          <w:sz w:val="24"/>
          <w:szCs w:val="24"/>
        </w:rPr>
        <w:t>t</w:t>
      </w:r>
      <w:r w:rsidRPr="000F6262">
        <w:rPr>
          <w:rFonts w:eastAsia="Calibri"/>
          <w:noProof/>
          <w:sz w:val="24"/>
          <w:szCs w:val="24"/>
        </w:rPr>
        <w:t xml:space="preserve">ilen fiyatlar ileri hesaplama ve yorumlama içermemektedir. </w:t>
      </w:r>
    </w:p>
    <w:p w:rsidR="006132B4" w:rsidRPr="000F6262" w:rsidRDefault="006132B4" w:rsidP="006132B4">
      <w:pPr>
        <w:spacing w:after="160" w:line="259" w:lineRule="auto"/>
        <w:ind w:firstLine="708"/>
        <w:jc w:val="both"/>
        <w:rPr>
          <w:rFonts w:eastAsia="Calibri"/>
          <w:noProof/>
          <w:sz w:val="24"/>
          <w:szCs w:val="24"/>
          <w:shd w:val="clear" w:color="auto" w:fill="FFFFFF"/>
        </w:rPr>
      </w:pPr>
      <w:r w:rsidRPr="000F6262">
        <w:rPr>
          <w:rFonts w:eastAsia="Calibri"/>
          <w:noProof/>
          <w:sz w:val="24"/>
          <w:szCs w:val="24"/>
        </w:rPr>
        <w:t>Ç</w:t>
      </w:r>
      <w:r w:rsidRPr="000F6262">
        <w:rPr>
          <w:rFonts w:eastAsia="Calibri"/>
          <w:noProof/>
          <w:sz w:val="24"/>
          <w:szCs w:val="24"/>
          <w:shd w:val="clear" w:color="auto" w:fill="FFFFFF"/>
        </w:rPr>
        <w:t>özünürleştirme işlemi talep eden tarafından yapılacaktır. Çözünürleştirme üniversitemizin başka bir biriminde yapılacaksa o birim ile temasa geçilecek, gerekli yönlendirme yapılaaktır. Cihaz aparatları cam olduğundan HF vb. aşındırıcı kimyasallar kullanılmamalıdır. Numune kabul öncesi bu konuda bilgilendirme yapılacak ve bir form doldurılması istenecektir. Örnek matriksi ve örnek hazırlama işlemi ile ilgili yeterli bilgi verilmesine göre analizin uygun olmadığı belirlenecektir.</w:t>
      </w:r>
    </w:p>
    <w:p w:rsidR="005948CD" w:rsidRPr="000F6262" w:rsidRDefault="006132B4" w:rsidP="005948CD">
      <w:pPr>
        <w:spacing w:after="160" w:line="259" w:lineRule="auto"/>
        <w:ind w:firstLine="708"/>
        <w:jc w:val="both"/>
        <w:rPr>
          <w:rFonts w:eastAsia="Calibri"/>
          <w:noProof/>
          <w:sz w:val="24"/>
          <w:szCs w:val="24"/>
          <w:shd w:val="clear" w:color="auto" w:fill="FFFFFF"/>
        </w:rPr>
      </w:pPr>
      <w:r w:rsidRPr="000F6262">
        <w:rPr>
          <w:rFonts w:eastAsia="Calibri"/>
          <w:noProof/>
          <w:sz w:val="24"/>
          <w:szCs w:val="24"/>
          <w:shd w:val="clear" w:color="auto" w:fill="FFFFFF"/>
        </w:rPr>
        <w:t>10</w:t>
      </w:r>
      <w:r w:rsidR="006675E3">
        <w:rPr>
          <w:rFonts w:eastAsia="Calibri"/>
          <w:noProof/>
          <w:sz w:val="24"/>
          <w:szCs w:val="24"/>
          <w:shd w:val="clear" w:color="auto" w:fill="FFFFFF"/>
        </w:rPr>
        <w:t>-20</w:t>
      </w:r>
      <w:r w:rsidRPr="000F6262">
        <w:rPr>
          <w:rFonts w:eastAsia="Calibri"/>
          <w:noProof/>
          <w:sz w:val="24"/>
          <w:szCs w:val="24"/>
          <w:shd w:val="clear" w:color="auto" w:fill="FFFFFF"/>
        </w:rPr>
        <w:t xml:space="preserve"> eleme</w:t>
      </w:r>
      <w:r>
        <w:rPr>
          <w:rFonts w:eastAsia="Calibri"/>
          <w:noProof/>
          <w:sz w:val="24"/>
          <w:szCs w:val="24"/>
          <w:shd w:val="clear" w:color="auto" w:fill="FFFFFF"/>
        </w:rPr>
        <w:t>n</w:t>
      </w:r>
      <w:r w:rsidRPr="000F6262">
        <w:rPr>
          <w:rFonts w:eastAsia="Calibri"/>
          <w:noProof/>
          <w:sz w:val="24"/>
          <w:szCs w:val="24"/>
          <w:shd w:val="clear" w:color="auto" w:fill="FFFFFF"/>
        </w:rPr>
        <w:t>te kadar numune isteklerinde % 25 indirim uygulanır. 2</w:t>
      </w:r>
      <w:r w:rsidR="006675E3">
        <w:rPr>
          <w:rFonts w:eastAsia="Calibri"/>
          <w:noProof/>
          <w:sz w:val="24"/>
          <w:szCs w:val="24"/>
          <w:shd w:val="clear" w:color="auto" w:fill="FFFFFF"/>
        </w:rPr>
        <w:t>1</w:t>
      </w:r>
      <w:r w:rsidRPr="000F6262">
        <w:rPr>
          <w:rFonts w:eastAsia="Calibri"/>
          <w:noProof/>
          <w:sz w:val="24"/>
          <w:szCs w:val="24"/>
          <w:shd w:val="clear" w:color="auto" w:fill="FFFFFF"/>
        </w:rPr>
        <w:t xml:space="preserve">-100 arası örnek sayısı için aynı koşullarda %30 indirim uygulanır. 100 den fazla örnek için </w:t>
      </w:r>
      <w:r w:rsidR="005948CD">
        <w:rPr>
          <w:rFonts w:eastAsia="Calibri"/>
          <w:noProof/>
          <w:sz w:val="24"/>
          <w:szCs w:val="24"/>
          <w:shd w:val="clear" w:color="auto" w:fill="FFFFFF"/>
        </w:rPr>
        <w:t>fiyatlar çalışmanın kapsamına göre belirlenir</w:t>
      </w:r>
      <w:r w:rsidR="005948CD" w:rsidRPr="000F6262">
        <w:rPr>
          <w:rFonts w:eastAsia="Calibri"/>
          <w:noProof/>
          <w:sz w:val="24"/>
          <w:szCs w:val="24"/>
          <w:shd w:val="clear" w:color="auto" w:fill="FFFFFF"/>
        </w:rPr>
        <w:t xml:space="preserve">. </w:t>
      </w:r>
    </w:p>
    <w:p w:rsidR="006132B4" w:rsidRPr="000F6262" w:rsidRDefault="006132B4" w:rsidP="006132B4">
      <w:pPr>
        <w:spacing w:after="160" w:line="259" w:lineRule="auto"/>
        <w:ind w:firstLine="708"/>
        <w:jc w:val="both"/>
        <w:rPr>
          <w:rFonts w:eastAsia="Calibri"/>
          <w:noProof/>
          <w:sz w:val="24"/>
          <w:szCs w:val="24"/>
          <w:shd w:val="clear" w:color="auto" w:fill="FFFFFF"/>
        </w:rPr>
      </w:pPr>
    </w:p>
    <w:p w:rsidR="006132B4" w:rsidRDefault="006132B4"/>
    <w:p w:rsidR="006132B4" w:rsidRDefault="006132B4"/>
    <w:p w:rsidR="006132B4" w:rsidRDefault="006132B4"/>
    <w:p w:rsidR="006132B4" w:rsidRPr="006132B4" w:rsidRDefault="006132B4" w:rsidP="006132B4">
      <w:pPr>
        <w:ind w:left="6372"/>
        <w:rPr>
          <w:sz w:val="24"/>
          <w:szCs w:val="24"/>
        </w:rPr>
      </w:pPr>
      <w:r>
        <w:rPr>
          <w:sz w:val="24"/>
          <w:szCs w:val="24"/>
        </w:rPr>
        <w:t xml:space="preserve">      </w:t>
      </w:r>
      <w:proofErr w:type="spellStart"/>
      <w:r w:rsidRPr="006132B4">
        <w:rPr>
          <w:sz w:val="24"/>
          <w:szCs w:val="24"/>
        </w:rPr>
        <w:t>Prof.Dr</w:t>
      </w:r>
      <w:proofErr w:type="spellEnd"/>
      <w:r w:rsidRPr="006132B4">
        <w:rPr>
          <w:sz w:val="24"/>
          <w:szCs w:val="24"/>
        </w:rPr>
        <w:t>. Asım OLGUN</w:t>
      </w:r>
    </w:p>
    <w:p w:rsidR="006132B4" w:rsidRDefault="006132B4" w:rsidP="006132B4">
      <w:pPr>
        <w:ind w:left="6372" w:firstLine="708"/>
        <w:rPr>
          <w:sz w:val="24"/>
          <w:szCs w:val="24"/>
        </w:rPr>
      </w:pPr>
      <w:r>
        <w:rPr>
          <w:sz w:val="24"/>
          <w:szCs w:val="24"/>
        </w:rPr>
        <w:t xml:space="preserve">    </w:t>
      </w:r>
      <w:r w:rsidRPr="006132B4">
        <w:rPr>
          <w:sz w:val="24"/>
          <w:szCs w:val="24"/>
        </w:rPr>
        <w:t>Bölüm Başkanı</w:t>
      </w:r>
    </w:p>
    <w:p w:rsidR="006132B4" w:rsidRDefault="006132B4" w:rsidP="006132B4">
      <w:pPr>
        <w:ind w:left="6372" w:firstLine="708"/>
        <w:rPr>
          <w:sz w:val="24"/>
          <w:szCs w:val="24"/>
        </w:rPr>
      </w:pPr>
      <w:r>
        <w:rPr>
          <w:sz w:val="24"/>
          <w:szCs w:val="24"/>
        </w:rPr>
        <w:t xml:space="preserve"> </w:t>
      </w:r>
    </w:p>
    <w:p w:rsidR="006132B4" w:rsidRPr="006132B4" w:rsidRDefault="006132B4" w:rsidP="006132B4">
      <w:pPr>
        <w:ind w:left="6372" w:firstLine="708"/>
        <w:rPr>
          <w:sz w:val="24"/>
          <w:szCs w:val="24"/>
        </w:rPr>
      </w:pPr>
      <w:r>
        <w:rPr>
          <w:sz w:val="24"/>
          <w:szCs w:val="24"/>
        </w:rPr>
        <w:t xml:space="preserve">        08.01.2019</w:t>
      </w:r>
    </w:p>
    <w:sectPr w:rsidR="006132B4" w:rsidRPr="00613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9E1"/>
    <w:rsid w:val="000E4F41"/>
    <w:rsid w:val="0037527E"/>
    <w:rsid w:val="005948CD"/>
    <w:rsid w:val="006132B4"/>
    <w:rsid w:val="006675E3"/>
    <w:rsid w:val="006E6B11"/>
    <w:rsid w:val="006F7951"/>
    <w:rsid w:val="008232EF"/>
    <w:rsid w:val="00962678"/>
    <w:rsid w:val="00982886"/>
    <w:rsid w:val="00BE79E1"/>
    <w:rsid w:val="00DF4D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AA9DD-7AC5-4978-A015-6BED108B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27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752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CASPER</cp:lastModifiedBy>
  <cp:revision>2</cp:revision>
  <cp:lastPrinted>2019-01-10T14:42:00Z</cp:lastPrinted>
  <dcterms:created xsi:type="dcterms:W3CDTF">2019-02-12T07:19:00Z</dcterms:created>
  <dcterms:modified xsi:type="dcterms:W3CDTF">2019-02-12T07:19:00Z</dcterms:modified>
</cp:coreProperties>
</file>