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92085C">
              <w:rPr>
                <w:rFonts w:ascii="Verdana" w:hAnsi="Verdana"/>
                <w:sz w:val="16"/>
                <w:szCs w:val="16"/>
              </w:rPr>
              <w:t>10</w:t>
            </w:r>
          </w:p>
        </w:tc>
      </w:tr>
      <w:tr w:rsidR="008D1BE0" w:rsidRPr="00F26E66">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8D1BE0" w:rsidRPr="0070295D" w:rsidRDefault="008D1BE0" w:rsidP="008D1BE0">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8D1BE0" w:rsidRPr="00F26E66" w:rsidTr="0080798B">
        <w:trPr>
          <w:trHeight w:val="68"/>
          <w:jc w:val="center"/>
        </w:trPr>
        <w:tc>
          <w:tcPr>
            <w:tcW w:w="1590" w:type="dxa"/>
            <w:vMerge/>
            <w:tcBorders>
              <w:bottom w:val="single" w:sz="12" w:space="0" w:color="auto"/>
              <w:right w:val="single" w:sz="12" w:space="0" w:color="auto"/>
            </w:tcBorders>
            <w:vAlign w:val="center"/>
          </w:tcPr>
          <w:p w:rsidR="008D1BE0" w:rsidRPr="0070295D" w:rsidRDefault="008D1BE0" w:rsidP="008D1BE0">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8D1BE0" w:rsidRPr="0070295D" w:rsidRDefault="008D1BE0" w:rsidP="008D1BE0">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 294 28 23-24</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0224 294 05 01</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8D1BE0" w:rsidRDefault="008D1BE0" w:rsidP="008D1BE0">
            <w:pPr>
              <w:spacing w:line="276" w:lineRule="auto"/>
              <w:rPr>
                <w:rFonts w:ascii="Verdana" w:hAnsi="Verdana"/>
                <w:sz w:val="16"/>
                <w:szCs w:val="16"/>
              </w:rPr>
            </w:pPr>
            <w:r w:rsidRPr="00E257C5">
              <w:rPr>
                <w:rFonts w:ascii="Verdana" w:hAnsi="Verdana"/>
                <w:b/>
                <w:sz w:val="16"/>
                <w:szCs w:val="16"/>
              </w:rPr>
              <w:t>E-mail</w:t>
            </w:r>
            <w:r>
              <w:rPr>
                <w:rFonts w:ascii="Verdana" w:hAnsi="Verdana"/>
                <w:sz w:val="16"/>
                <w:szCs w:val="16"/>
              </w:rPr>
              <w:t>:</w:t>
            </w:r>
          </w:p>
          <w:p w:rsidR="008D1BE0" w:rsidRPr="0070295D" w:rsidRDefault="008D1BE0" w:rsidP="008D1BE0">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96548E" w:rsidRPr="00F26E66" w:rsidTr="0052045D">
        <w:trPr>
          <w:trHeight w:val="340"/>
          <w:jc w:val="center"/>
        </w:trPr>
        <w:tc>
          <w:tcPr>
            <w:tcW w:w="495" w:type="dxa"/>
            <w:tcBorders>
              <w:top w:val="single" w:sz="12"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96548E" w:rsidRPr="001F2818" w:rsidRDefault="0092085C" w:rsidP="0096548E">
            <w:pPr>
              <w:autoSpaceDE w:val="0"/>
              <w:autoSpaceDN w:val="0"/>
              <w:jc w:val="both"/>
              <w:rPr>
                <w:color w:val="000000"/>
              </w:rPr>
            </w:pPr>
            <w:r w:rsidRPr="00312C9F">
              <w:rPr>
                <w:b/>
                <w:sz w:val="22"/>
                <w:szCs w:val="22"/>
              </w:rPr>
              <w:t>Microsoft Eğitim Çözümleri Üyelik Anlaşması</w:t>
            </w:r>
            <w:r w:rsidRPr="001F2818">
              <w:rPr>
                <w:color w:val="000000"/>
              </w:rPr>
              <w:t xml:space="preserve"> </w:t>
            </w:r>
          </w:p>
        </w:tc>
        <w:tc>
          <w:tcPr>
            <w:tcW w:w="2835" w:type="dxa"/>
            <w:tcBorders>
              <w:top w:val="single" w:sz="12" w:space="0" w:color="auto"/>
              <w:left w:val="single" w:sz="12" w:space="0" w:color="auto"/>
              <w:bottom w:val="single" w:sz="8" w:space="0" w:color="auto"/>
              <w:right w:val="single" w:sz="12" w:space="0" w:color="auto"/>
            </w:tcBorders>
          </w:tcPr>
          <w:p w:rsidR="0096548E" w:rsidRDefault="00B930B7" w:rsidP="0096548E">
            <w:r>
              <w:t>Teknik Şartname</w:t>
            </w:r>
          </w:p>
        </w:tc>
        <w:tc>
          <w:tcPr>
            <w:tcW w:w="1220" w:type="dxa"/>
            <w:tcBorders>
              <w:top w:val="single" w:sz="12" w:space="0" w:color="auto"/>
              <w:left w:val="single" w:sz="12" w:space="0" w:color="auto"/>
            </w:tcBorders>
          </w:tcPr>
          <w:p w:rsidR="0096548E" w:rsidRDefault="00B930B7" w:rsidP="0096548E">
            <w:r>
              <w:t xml:space="preserve">     1</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0E205D" w:rsidRDefault="00F41C2A" w:rsidP="0039077B">
      <w:pPr>
        <w:spacing w:before="72"/>
        <w:ind w:left="432" w:firstLine="273"/>
        <w:jc w:val="both"/>
        <w:rPr>
          <w:color w:val="000000"/>
          <w:spacing w:val="5"/>
        </w:rPr>
      </w:pPr>
      <w:r w:rsidRPr="00F41C2A">
        <w:t xml:space="preserve">Bursa Uludağ Üniversitesi’nde kullanılan masaüstü bilgisayar, dizüstü bilgisayar ve sunucu bilgisayarlarda kullanılacak olan işletim sistemi, sunucu yazılımları, ofis uygulamaları ve kullanıcı erişim yazılımlarına ait lisansları birbiri ile uyumlu çalışacak şekilde tedarik etmek, anlaşmaya dahil edilen lisansları yazılım güvencesi süresi boyunca güncellemelerini </w:t>
      </w:r>
      <w:r>
        <w:t xml:space="preserve">alımı yapılacak iş </w:t>
      </w:r>
      <w:r w:rsidR="00EF0473" w:rsidRPr="0039077B">
        <w:rPr>
          <w:color w:val="000000"/>
          <w:spacing w:val="5"/>
        </w:rPr>
        <w:t xml:space="preserve">için </w:t>
      </w:r>
      <w:r w:rsidR="001F41B9" w:rsidRPr="0039077B">
        <w:rPr>
          <w:color w:val="000000"/>
          <w:spacing w:val="5"/>
        </w:rPr>
        <w:t xml:space="preserve">teklifler </w:t>
      </w:r>
      <w:r>
        <w:rPr>
          <w:color w:val="000000"/>
          <w:spacing w:val="5"/>
        </w:rPr>
        <w:t>09</w:t>
      </w:r>
      <w:r w:rsidR="009F77B8" w:rsidRPr="0039077B">
        <w:rPr>
          <w:color w:val="000000"/>
          <w:spacing w:val="5"/>
        </w:rPr>
        <w:t>/</w:t>
      </w:r>
      <w:r>
        <w:rPr>
          <w:color w:val="000000"/>
          <w:spacing w:val="5"/>
        </w:rPr>
        <w:t>09</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p>
    <w:p w:rsidR="00EE5BAD" w:rsidRPr="0039077B" w:rsidRDefault="00326994" w:rsidP="0039077B">
      <w:pPr>
        <w:spacing w:before="72"/>
        <w:ind w:left="432" w:firstLine="273"/>
        <w:jc w:val="both"/>
        <w:rPr>
          <w:color w:val="000000"/>
          <w:spacing w:val="5"/>
        </w:rPr>
      </w:pPr>
      <w:r w:rsidRPr="0039077B">
        <w:rPr>
          <w:b/>
          <w:color w:val="000000"/>
          <w:spacing w:val="5"/>
        </w:rPr>
        <w:t>(Not: Fax ile gönderilen teklifler</w:t>
      </w:r>
      <w:r w:rsidR="00985EDD" w:rsidRPr="0039077B">
        <w:rPr>
          <w:b/>
          <w:color w:val="000000"/>
          <w:spacing w:val="5"/>
        </w:rPr>
        <w:t xml:space="preserve"> geçerli sayılmayacaktır</w:t>
      </w:r>
      <w:r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8120AB" w:rsidP="0017088F">
      <w:pPr>
        <w:jc w:val="center"/>
        <w:rPr>
          <w:rFonts w:ascii="Verdana" w:hAnsi="Verdana"/>
          <w:b/>
          <w:sz w:val="20"/>
          <w:szCs w:val="20"/>
        </w:rPr>
      </w:pPr>
      <w:r>
        <w:rPr>
          <w:rFonts w:ascii="Verdana" w:hAnsi="Verdana"/>
          <w:b/>
          <w:sz w:val="20"/>
          <w:szCs w:val="20"/>
        </w:rPr>
        <w:t xml:space="preserve">BURSA </w:t>
      </w:r>
      <w:r w:rsidR="0017088F"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6E2E6A" w:rsidRDefault="008B29E1" w:rsidP="00182113">
      <w:pPr>
        <w:spacing w:line="276" w:lineRule="auto"/>
        <w:rPr>
          <w:rFonts w:ascii="Verdana" w:hAnsi="Verdana"/>
          <w:b/>
          <w:sz w:val="18"/>
          <w:szCs w:val="18"/>
        </w:rPr>
      </w:pPr>
      <w:r>
        <w:rPr>
          <w:rFonts w:ascii="Verdana" w:hAnsi="Verdana"/>
          <w:b/>
          <w:sz w:val="18"/>
          <w:szCs w:val="18"/>
        </w:rPr>
        <w:t xml:space="preserve"> Firma Kaşe</w:t>
      </w: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color w:val="000000" w:themeColor="text1"/>
          <w:sz w:val="18"/>
          <w:szCs w:val="18"/>
        </w:rPr>
      </w:pPr>
    </w:p>
    <w:p w:rsidR="000B0FE4" w:rsidRPr="000B0FE4" w:rsidRDefault="000B0FE4"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C12F96" w:rsidRPr="000B0FE4" w:rsidRDefault="00C12F96" w:rsidP="000B0FE4">
      <w:pPr>
        <w:rPr>
          <w:b/>
          <w:bCs/>
          <w:color w:val="000000" w:themeColor="text1"/>
        </w:rPr>
      </w:pPr>
    </w:p>
    <w:p w:rsidR="000B0FE4" w:rsidRPr="000E4F4C" w:rsidRDefault="000B0FE4" w:rsidP="000B0FE4">
      <w:pPr>
        <w:jc w:val="center"/>
        <w:rPr>
          <w:b/>
          <w:color w:val="000000" w:themeColor="text1"/>
          <w:sz w:val="22"/>
          <w:szCs w:val="22"/>
        </w:rPr>
      </w:pPr>
      <w:bookmarkStart w:id="0" w:name="_Ref499373399"/>
      <w:bookmarkStart w:id="1" w:name="_Toc529765908"/>
      <w:bookmarkStart w:id="2" w:name="_GoBack"/>
      <w:r w:rsidRPr="000E4F4C">
        <w:rPr>
          <w:b/>
          <w:color w:val="000000" w:themeColor="text1"/>
          <w:sz w:val="22"/>
          <w:szCs w:val="22"/>
        </w:rPr>
        <w:lastRenderedPageBreak/>
        <w:t>MİCROSOFT KAMPÜS</w:t>
      </w:r>
    </w:p>
    <w:p w:rsidR="000B0FE4" w:rsidRPr="000E4F4C" w:rsidRDefault="000B0FE4" w:rsidP="000B0FE4">
      <w:pPr>
        <w:ind w:left="375"/>
        <w:jc w:val="center"/>
        <w:rPr>
          <w:b/>
          <w:color w:val="000000" w:themeColor="text1"/>
          <w:sz w:val="22"/>
          <w:szCs w:val="22"/>
        </w:rPr>
      </w:pPr>
      <w:r w:rsidRPr="000E4F4C">
        <w:rPr>
          <w:b/>
          <w:color w:val="000000" w:themeColor="text1"/>
          <w:sz w:val="22"/>
          <w:szCs w:val="22"/>
        </w:rPr>
        <w:t>2019 YILI KULLANIM HAKKI (LİSANS) ALIMI</w:t>
      </w:r>
    </w:p>
    <w:p w:rsidR="000B0FE4" w:rsidRPr="000E4F4C" w:rsidRDefault="000B0FE4" w:rsidP="000B0FE4">
      <w:pPr>
        <w:spacing w:line="360" w:lineRule="auto"/>
        <w:mirrorIndents/>
        <w:jc w:val="center"/>
        <w:rPr>
          <w:b/>
          <w:color w:val="000000" w:themeColor="text1"/>
          <w:sz w:val="22"/>
          <w:szCs w:val="22"/>
        </w:rPr>
      </w:pPr>
      <w:r w:rsidRPr="000E4F4C">
        <w:rPr>
          <w:b/>
          <w:color w:val="000000" w:themeColor="text1"/>
          <w:sz w:val="22"/>
          <w:szCs w:val="22"/>
        </w:rPr>
        <w:t>TEKNİK ŞARTNAMESİ</w:t>
      </w:r>
    </w:p>
    <w:bookmarkEnd w:id="2"/>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KONU VE AMAÇ</w:t>
      </w:r>
      <w:bookmarkEnd w:id="0"/>
      <w:bookmarkEnd w:id="1"/>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 Konu: Bu şartname Bursa Uludağ Üniversitesi’nde (Bundan sonra “Kurum” olarak anılacaktır.) kullanılmakta olan Microsoft yazılımlarının sürüm yükseltmesinin </w:t>
      </w:r>
      <w:r w:rsidRPr="000B0FE4">
        <w:rPr>
          <w:rFonts w:ascii="Times New Roman" w:eastAsia="Segoe UI" w:hAnsi="Times New Roman"/>
          <w:b w:val="0"/>
          <w:color w:val="000000" w:themeColor="text1"/>
          <w:sz w:val="22"/>
          <w:szCs w:val="22"/>
        </w:rPr>
        <w:t>Microsoft Eğitim Çözümleri</w:t>
      </w:r>
      <w:r w:rsidRPr="000B0FE4">
        <w:rPr>
          <w:rFonts w:ascii="Times New Roman" w:hAnsi="Times New Roman"/>
          <w:b w:val="0"/>
          <w:color w:val="000000" w:themeColor="text1"/>
          <w:sz w:val="22"/>
          <w:szCs w:val="22"/>
        </w:rPr>
        <w:t xml:space="preserve"> Üyelik Anlaşması kapsamında yıllık kullanım hakkının yenilenmesini konu alır.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 Amaç: Bursa Uludağ Üniversitesi’nde kullanılan masaüstü bilgisayar, dizüstü bilgisayar ve sunucu bilgisayarlarda kullanılacak olan işletim sistemi, sunucu yazılımları, ofis uygulamaları ve kullanıcı erişim yazılımlarına ait lisansları birbiri ile uyumlu çalışacak şekilde tedarik etmek, anlaşmaya dahil edilen lisansları yazılım güvencesi süresi boyunca güncellemelerini yapmaktır.</w:t>
      </w:r>
    </w:p>
    <w:p w:rsidR="000B0FE4" w:rsidRPr="000B0FE4" w:rsidRDefault="000B0FE4" w:rsidP="00D375AF">
      <w:pPr>
        <w:pStyle w:val="Balk3"/>
        <w:keepNext w:val="0"/>
        <w:keepLines w:val="0"/>
        <w:widowControl w:val="0"/>
        <w:numPr>
          <w:ilvl w:val="1"/>
          <w:numId w:val="26"/>
        </w:numPr>
        <w:spacing w:before="0" w:line="360" w:lineRule="auto"/>
        <w:ind w:left="0" w:firstLine="0"/>
        <w:mirrorIndents/>
        <w:jc w:val="both"/>
        <w:rPr>
          <w:b w:val="0"/>
          <w:color w:val="000000" w:themeColor="text1"/>
        </w:rPr>
      </w:pPr>
      <w:r w:rsidRPr="000B0FE4">
        <w:rPr>
          <w:rFonts w:ascii="Times New Roman" w:hAnsi="Times New Roman"/>
          <w:b w:val="0"/>
          <w:color w:val="000000" w:themeColor="text1"/>
          <w:sz w:val="22"/>
          <w:szCs w:val="22"/>
        </w:rPr>
        <w:t xml:space="preserve"> Kapsam: Bu teknik şartname, Microsoft Eğitim Çözümleri Üyelik Anlaşması kapsamında tedarik edilecek lisansların ve anlaşma yapısının özelliklerini kapsar.</w:t>
      </w:r>
    </w:p>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TANIMLAR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Yazılım Lisansı: Yazılımı çalıştırmak için verilen yasal haktır.  </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Microsoft Eğitim Çözümleri Üyelik Anlaşması: Eğitim kurumlarına, program koşullarına göre lisans kullanım hakkı veren yıllık “Lisans” ve “Yazılım Güvencesi” anlaşmasıdır. (bundan sonra Üyelik Anlaşması olarak anılacaktır)</w:t>
      </w:r>
    </w:p>
    <w:p w:rsidR="000B0FE4" w:rsidRPr="000B0FE4" w:rsidRDefault="000B0FE4" w:rsidP="00841B3D">
      <w:pPr>
        <w:pStyle w:val="Balk3"/>
        <w:keepNext w:val="0"/>
        <w:keepLines w:val="0"/>
        <w:widowControl w:val="0"/>
        <w:numPr>
          <w:ilvl w:val="1"/>
          <w:numId w:val="26"/>
        </w:numPr>
        <w:spacing w:before="0" w:line="360" w:lineRule="auto"/>
        <w:ind w:left="0" w:firstLine="0"/>
        <w:mirrorIndents/>
        <w:jc w:val="both"/>
        <w:rPr>
          <w:b w:val="0"/>
          <w:color w:val="000000" w:themeColor="text1"/>
        </w:rPr>
      </w:pPr>
      <w:r w:rsidRPr="000B0FE4">
        <w:rPr>
          <w:rFonts w:ascii="Times New Roman" w:hAnsi="Times New Roman"/>
          <w:b w:val="0"/>
          <w:color w:val="000000" w:themeColor="text1"/>
          <w:sz w:val="22"/>
          <w:szCs w:val="22"/>
        </w:rPr>
        <w:t>Yazılım Güvencesi: Üyelik Anlaşmasına dâhil edilen ürün lisanslarının çıkarılacak en son sürümünü ve güncellemelerini, güvencenin geçerli olduğu süre içerisinde ek ücret ödemeden kullanma hakkıdır.</w:t>
      </w:r>
    </w:p>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İSTEK VE ÖZELLİKLER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Üyelik Anlaşması kapsamında aşağıdaki istekler karşılanacaktır. </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Bursa Uludağ Üniversitesi Rektörlüğü adına açılacak Üyelik Anlaşması numarası altında Kurum, anlaşmaya dâhil ettiği ürün lisanslarını Microsoft Toplu Lisanslama Servis Merkezinden (VLSC – Volume Licensing Service Center) (Bundan sonra VLSC olarak anılacaktır.) takip edilebilecek, anlaşma açılış ve bitiş süresi, ürün detayları, adet bilgisi, ürün anahtarları, ürün indirme bağlantıları bu siteden yönetilecektir. </w:t>
      </w:r>
      <w:bookmarkStart w:id="3" w:name="OLE_LINK1"/>
      <w:bookmarkStart w:id="4" w:name="OLE_LINK2"/>
      <w:r w:rsidRPr="000B0FE4">
        <w:rPr>
          <w:rFonts w:ascii="Times New Roman" w:hAnsi="Times New Roman"/>
          <w:b w:val="0"/>
          <w:color w:val="000000" w:themeColor="text1"/>
          <w:sz w:val="22"/>
          <w:szCs w:val="22"/>
        </w:rPr>
        <w:t>Anlaşma Kurum adına kayıtlı olacaktır.</w:t>
      </w:r>
      <w:bookmarkEnd w:id="3"/>
      <w:bookmarkEnd w:id="4"/>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VLSC sitesine ait internet adresi ve kullanım kılavuzu tekliflerle birlikte Kuruma iletilecektir.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Firma, Üyelik Anlaşması Programı ile gelen diğer faydaları anlatan dokümanlar, internet sitesi adresleri gibi kaynakları da teklifi ile birlikte verecektir. </w:t>
      </w:r>
    </w:p>
    <w:p w:rsidR="000B0FE4" w:rsidRPr="000B0FE4" w:rsidRDefault="000B0FE4" w:rsidP="003E3BD7">
      <w:pPr>
        <w:pStyle w:val="Balk3"/>
        <w:keepNext w:val="0"/>
        <w:keepLines w:val="0"/>
        <w:widowControl w:val="0"/>
        <w:numPr>
          <w:ilvl w:val="1"/>
          <w:numId w:val="26"/>
        </w:numPr>
        <w:spacing w:before="0" w:line="360" w:lineRule="auto"/>
        <w:ind w:left="0" w:firstLine="0"/>
        <w:mirrorIndents/>
        <w:jc w:val="both"/>
        <w:rPr>
          <w:b w:val="0"/>
          <w:color w:val="000000" w:themeColor="text1"/>
        </w:rPr>
      </w:pPr>
      <w:r w:rsidRPr="000B0FE4">
        <w:rPr>
          <w:rFonts w:ascii="Times New Roman" w:hAnsi="Times New Roman"/>
          <w:b w:val="0"/>
          <w:color w:val="000000" w:themeColor="text1"/>
          <w:sz w:val="22"/>
          <w:szCs w:val="22"/>
        </w:rPr>
        <w:t>İhaleye katılacak firma, üreticiden aldığı Microsoft Yetkili Eğitim Satıcısı (AEP Authorized Education Partner) olduğuna dair belgeyi ihale komisyonuna teslim edecektir.</w:t>
      </w:r>
    </w:p>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ANLAŞMAYA DÂHİL EDİLECEK LİSANSLAR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İstenen ürün lisansları aşağıdaki gibidir.</w:t>
      </w:r>
    </w:p>
    <w:tbl>
      <w:tblPr>
        <w:tblW w:w="9000" w:type="dxa"/>
        <w:tblInd w:w="311" w:type="dxa"/>
        <w:tblCellMar>
          <w:left w:w="0" w:type="dxa"/>
          <w:right w:w="0" w:type="dxa"/>
        </w:tblCellMar>
        <w:tblLook w:val="04A0" w:firstRow="1" w:lastRow="0" w:firstColumn="1" w:lastColumn="0" w:noHBand="0" w:noVBand="1"/>
      </w:tblPr>
      <w:tblGrid>
        <w:gridCol w:w="7830"/>
        <w:gridCol w:w="1170"/>
      </w:tblGrid>
      <w:tr w:rsidR="000B0FE4" w:rsidRPr="000B0FE4" w:rsidTr="008E3A40">
        <w:trPr>
          <w:trHeight w:val="225"/>
        </w:trPr>
        <w:tc>
          <w:tcPr>
            <w:tcW w:w="783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bCs/>
                <w:color w:val="000000" w:themeColor="text1"/>
                <w:lang w:val="en-US"/>
              </w:rPr>
            </w:pPr>
            <w:r w:rsidRPr="000B0FE4">
              <w:rPr>
                <w:bCs/>
                <w:color w:val="000000" w:themeColor="text1"/>
                <w:lang w:val="en-US"/>
              </w:rPr>
              <w:t>Ürün Adı</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bCs/>
                <w:color w:val="000000" w:themeColor="text1"/>
                <w:lang w:val="en-US"/>
              </w:rPr>
            </w:pPr>
            <w:r w:rsidRPr="000B0FE4">
              <w:rPr>
                <w:bCs/>
                <w:color w:val="000000" w:themeColor="text1"/>
                <w:lang w:val="en-US"/>
              </w:rPr>
              <w:t>Adet</w:t>
            </w:r>
          </w:p>
        </w:tc>
      </w:tr>
      <w:tr w:rsidR="000B0FE4" w:rsidRPr="000B0FE4" w:rsidTr="008E3A40">
        <w:trPr>
          <w:trHeight w:val="285"/>
        </w:trPr>
        <w:tc>
          <w:tcPr>
            <w:tcW w:w="78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0FE4" w:rsidRPr="000B0FE4" w:rsidRDefault="000B0FE4" w:rsidP="008E3A40">
            <w:pPr>
              <w:rPr>
                <w:color w:val="000000" w:themeColor="text1"/>
                <w:sz w:val="22"/>
              </w:rPr>
            </w:pPr>
            <w:r w:rsidRPr="000B0FE4">
              <w:rPr>
                <w:color w:val="000000" w:themeColor="text1"/>
                <w:sz w:val="22"/>
              </w:rPr>
              <w:t xml:space="preserve">Microsoft 365 Education A3 Lisans Paketi  </w:t>
            </w:r>
          </w:p>
          <w:p w:rsidR="000B0FE4" w:rsidRPr="000B0FE4" w:rsidRDefault="000B0FE4" w:rsidP="008E3A40">
            <w:pPr>
              <w:rPr>
                <w:color w:val="000000" w:themeColor="text1"/>
                <w:sz w:val="22"/>
              </w:rPr>
            </w:pPr>
            <w:r w:rsidRPr="000B0FE4">
              <w:rPr>
                <w:color w:val="000000" w:themeColor="text1"/>
                <w:sz w:val="22"/>
              </w:rPr>
              <w:t xml:space="preserve">      Office 365 Professional Plus </w:t>
            </w:r>
          </w:p>
          <w:p w:rsidR="000B0FE4" w:rsidRPr="000B0FE4" w:rsidRDefault="000B0FE4" w:rsidP="008E3A40">
            <w:pPr>
              <w:rPr>
                <w:color w:val="000000" w:themeColor="text1"/>
                <w:sz w:val="22"/>
              </w:rPr>
            </w:pPr>
            <w:r w:rsidRPr="000B0FE4">
              <w:rPr>
                <w:color w:val="000000" w:themeColor="text1"/>
                <w:sz w:val="22"/>
              </w:rPr>
              <w:t>      Windows Education A3 Sürüm Yükseltme</w:t>
            </w:r>
          </w:p>
          <w:p w:rsidR="000B0FE4" w:rsidRPr="000B0FE4" w:rsidRDefault="000B0FE4" w:rsidP="008E3A40">
            <w:pPr>
              <w:rPr>
                <w:color w:val="000000" w:themeColor="text1"/>
                <w:sz w:val="22"/>
              </w:rPr>
            </w:pPr>
            <w:r w:rsidRPr="000B0FE4">
              <w:rPr>
                <w:color w:val="000000" w:themeColor="text1"/>
                <w:sz w:val="22"/>
              </w:rPr>
              <w:t>      Enterprise Mobility and Security A3</w:t>
            </w:r>
          </w:p>
          <w:p w:rsidR="000B0FE4" w:rsidRPr="000B0FE4" w:rsidRDefault="000B0FE4" w:rsidP="008E3A40">
            <w:pPr>
              <w:rPr>
                <w:color w:val="000000" w:themeColor="text1"/>
                <w:sz w:val="22"/>
              </w:rPr>
            </w:pPr>
            <w:r w:rsidRPr="000B0FE4">
              <w:rPr>
                <w:color w:val="000000" w:themeColor="text1"/>
                <w:sz w:val="22"/>
              </w:rPr>
              <w:t>      Minecraft Education Edition</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color w:val="000000" w:themeColor="text1"/>
                <w:sz w:val="22"/>
                <w:lang w:val="en-US"/>
              </w:rPr>
            </w:pPr>
            <w:r w:rsidRPr="000B0FE4">
              <w:rPr>
                <w:color w:val="000000" w:themeColor="text1"/>
                <w:sz w:val="22"/>
                <w:lang w:val="en-US"/>
              </w:rPr>
              <w:t>1.000</w:t>
            </w:r>
          </w:p>
        </w:tc>
      </w:tr>
      <w:tr w:rsidR="000B0FE4" w:rsidRPr="000B0FE4" w:rsidTr="008E3A40">
        <w:trPr>
          <w:trHeight w:val="285"/>
        </w:trPr>
        <w:tc>
          <w:tcPr>
            <w:tcW w:w="78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0FE4" w:rsidRPr="000B0FE4" w:rsidRDefault="000B0FE4" w:rsidP="008E3A40">
            <w:pPr>
              <w:rPr>
                <w:color w:val="000000" w:themeColor="text1"/>
                <w:sz w:val="22"/>
              </w:rPr>
            </w:pPr>
            <w:r w:rsidRPr="000B0FE4">
              <w:rPr>
                <w:color w:val="000000" w:themeColor="text1"/>
                <w:sz w:val="22"/>
              </w:rPr>
              <w:t>Windows Server DataCenter Core (2 Lic)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color w:val="000000" w:themeColor="text1"/>
                <w:sz w:val="22"/>
                <w:lang w:val="en-US"/>
              </w:rPr>
            </w:pPr>
            <w:r w:rsidRPr="000B0FE4">
              <w:rPr>
                <w:color w:val="000000" w:themeColor="text1"/>
                <w:sz w:val="22"/>
                <w:lang w:val="en-US"/>
              </w:rPr>
              <w:t>80</w:t>
            </w:r>
          </w:p>
        </w:tc>
      </w:tr>
      <w:tr w:rsidR="000B0FE4" w:rsidRPr="000B0FE4" w:rsidTr="008E3A40">
        <w:trPr>
          <w:trHeight w:val="285"/>
        </w:trPr>
        <w:tc>
          <w:tcPr>
            <w:tcW w:w="78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0FE4" w:rsidRPr="000B0FE4" w:rsidRDefault="000B0FE4" w:rsidP="008E3A40">
            <w:pPr>
              <w:rPr>
                <w:color w:val="000000" w:themeColor="text1"/>
                <w:sz w:val="22"/>
              </w:rPr>
            </w:pPr>
            <w:r w:rsidRPr="000B0FE4">
              <w:rPr>
                <w:color w:val="000000" w:themeColor="text1"/>
                <w:sz w:val="22"/>
              </w:rPr>
              <w:t>Windows Server Standard Core (2 Lic)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color w:val="000000" w:themeColor="text1"/>
                <w:sz w:val="22"/>
                <w:lang w:val="en-US"/>
              </w:rPr>
            </w:pPr>
            <w:r w:rsidRPr="000B0FE4">
              <w:rPr>
                <w:color w:val="000000" w:themeColor="text1"/>
                <w:sz w:val="22"/>
                <w:lang w:val="en-US"/>
              </w:rPr>
              <w:t>80</w:t>
            </w:r>
          </w:p>
        </w:tc>
      </w:tr>
      <w:tr w:rsidR="000B0FE4" w:rsidRPr="000B0FE4" w:rsidTr="008E3A40">
        <w:trPr>
          <w:trHeight w:val="285"/>
        </w:trPr>
        <w:tc>
          <w:tcPr>
            <w:tcW w:w="78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0FE4" w:rsidRPr="000B0FE4" w:rsidRDefault="000B0FE4" w:rsidP="008E3A40">
            <w:pPr>
              <w:rPr>
                <w:color w:val="000000" w:themeColor="text1"/>
                <w:sz w:val="22"/>
              </w:rPr>
            </w:pPr>
            <w:r w:rsidRPr="000B0FE4">
              <w:rPr>
                <w:color w:val="000000" w:themeColor="text1"/>
                <w:sz w:val="22"/>
              </w:rPr>
              <w:t>SQL Server Std. Core (2 Lic)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color w:val="000000" w:themeColor="text1"/>
                <w:sz w:val="22"/>
                <w:lang w:val="en-US"/>
              </w:rPr>
            </w:pPr>
            <w:r w:rsidRPr="000B0FE4">
              <w:rPr>
                <w:color w:val="000000" w:themeColor="text1"/>
                <w:sz w:val="22"/>
                <w:lang w:val="en-US"/>
              </w:rPr>
              <w:t>5</w:t>
            </w:r>
          </w:p>
        </w:tc>
      </w:tr>
      <w:tr w:rsidR="000B0FE4" w:rsidRPr="000B0FE4" w:rsidTr="008E3A40">
        <w:trPr>
          <w:trHeight w:val="285"/>
        </w:trPr>
        <w:tc>
          <w:tcPr>
            <w:tcW w:w="78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0FE4" w:rsidRPr="000B0FE4" w:rsidRDefault="000B0FE4" w:rsidP="008E3A40">
            <w:pPr>
              <w:rPr>
                <w:color w:val="000000" w:themeColor="text1"/>
                <w:sz w:val="22"/>
              </w:rPr>
            </w:pPr>
            <w:r w:rsidRPr="000B0FE4">
              <w:rPr>
                <w:color w:val="000000" w:themeColor="text1"/>
                <w:sz w:val="22"/>
              </w:rPr>
              <w:t>SQL Server Ent. Core (2 Lic)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0B0FE4" w:rsidRPr="000B0FE4" w:rsidRDefault="000B0FE4" w:rsidP="008E3A40">
            <w:pPr>
              <w:jc w:val="center"/>
              <w:rPr>
                <w:color w:val="000000" w:themeColor="text1"/>
                <w:sz w:val="22"/>
                <w:lang w:val="en-US"/>
              </w:rPr>
            </w:pPr>
            <w:r w:rsidRPr="000B0FE4">
              <w:rPr>
                <w:color w:val="000000" w:themeColor="text1"/>
                <w:sz w:val="22"/>
                <w:lang w:val="en-US"/>
              </w:rPr>
              <w:t>5</w:t>
            </w:r>
          </w:p>
        </w:tc>
      </w:tr>
    </w:tbl>
    <w:p w:rsidR="000B0FE4" w:rsidRPr="000B0FE4" w:rsidRDefault="000B0FE4" w:rsidP="000B0FE4">
      <w:pPr>
        <w:rPr>
          <w:color w:val="000000" w:themeColor="text1"/>
        </w:rPr>
      </w:pPr>
    </w:p>
    <w:p w:rsidR="000B0FE4" w:rsidRPr="000B0FE4" w:rsidRDefault="000B0FE4" w:rsidP="000B0FE4">
      <w:pPr>
        <w:rPr>
          <w:color w:val="000000" w:themeColor="text1"/>
        </w:rPr>
      </w:pPr>
    </w:p>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lastRenderedPageBreak/>
        <w:t>DESTEK</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İhaleyi alan firma, anlaşmanın geçerli olduğu süre içinde lisanslı ürünlerin kurulum ve aktivasyonları sırasında çıkabilecek sorunlara teknik destek sağlayacaktır. Destek birimine ait iletişim bilgileri teklif ile birlikte sunulmalıdır.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rPr>
        <w:t xml:space="preserve">Lisanslarda ve KMS lisans sunucusundaki KMS lisansında oluşabilecek sorunlarda </w:t>
      </w:r>
      <w:r w:rsidRPr="000B0FE4">
        <w:rPr>
          <w:rFonts w:ascii="Times New Roman" w:hAnsi="Times New Roman"/>
          <w:b w:val="0"/>
          <w:color w:val="000000" w:themeColor="text1"/>
          <w:sz w:val="22"/>
          <w:szCs w:val="22"/>
        </w:rPr>
        <w:t>İhaleyi alan firma</w:t>
      </w:r>
      <w:r w:rsidRPr="000B0FE4">
        <w:rPr>
          <w:rFonts w:ascii="Times New Roman" w:hAnsi="Times New Roman"/>
          <w:b w:val="0"/>
          <w:color w:val="000000" w:themeColor="text1"/>
        </w:rPr>
        <w:t xml:space="preserve"> 5X9 uzaktan bağlantıyla ve/veya telefonda Türkçe destek verecektir.</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b w:val="0"/>
          <w:color w:val="000000" w:themeColor="text1"/>
        </w:rPr>
      </w:pPr>
      <w:r w:rsidRPr="000B0FE4">
        <w:rPr>
          <w:rFonts w:ascii="Times New Roman" w:hAnsi="Times New Roman"/>
          <w:b w:val="0"/>
          <w:color w:val="000000" w:themeColor="text1"/>
          <w:sz w:val="22"/>
          <w:szCs w:val="22"/>
        </w:rPr>
        <w:t>İhaleyi alan firma, anlaşmanın geçerli olduğu süre içinde lisansların kurum içerisindeki VLSC / KMS Sunucusuna yüklenmesi, kullanıma hazırlanması ve raporlarının alınması sırasında Kurum’a teknik destek sağlayacaktır. Destek birimine ait iletişim bilgileri teklif ile birlikte sunulmalıdır.</w:t>
      </w:r>
    </w:p>
    <w:p w:rsidR="000B0FE4" w:rsidRPr="000B0FE4" w:rsidRDefault="000B0FE4" w:rsidP="000B0FE4">
      <w:pPr>
        <w:rPr>
          <w:color w:val="000000" w:themeColor="text1"/>
        </w:rPr>
      </w:pPr>
    </w:p>
    <w:p w:rsidR="000B0FE4" w:rsidRPr="000B0FE4" w:rsidRDefault="000B0FE4" w:rsidP="000B0FE4">
      <w:pPr>
        <w:pStyle w:val="Balk3"/>
        <w:keepNext w:val="0"/>
        <w:keepLines w:val="0"/>
        <w:widowControl w:val="0"/>
        <w:numPr>
          <w:ilvl w:val="0"/>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KESİN KABUL</w:t>
      </w:r>
    </w:p>
    <w:p w:rsidR="000B0FE4" w:rsidRPr="000B0FE4" w:rsidRDefault="000B0FE4" w:rsidP="000B0FE4">
      <w:pPr>
        <w:pStyle w:val="Balk3"/>
        <w:keepNext w:val="0"/>
        <w:keepLines w:val="0"/>
        <w:widowControl w:val="0"/>
        <w:numPr>
          <w:ilvl w:val="1"/>
          <w:numId w:val="26"/>
        </w:numPr>
        <w:spacing w:before="0" w:line="360" w:lineRule="auto"/>
        <w:ind w:left="0" w:firstLine="0"/>
        <w:mirrorIndents/>
        <w:jc w:val="both"/>
        <w:rPr>
          <w:rFonts w:ascii="Times New Roman" w:hAnsi="Times New Roman"/>
          <w:b w:val="0"/>
          <w:color w:val="000000" w:themeColor="text1"/>
          <w:sz w:val="22"/>
          <w:szCs w:val="22"/>
        </w:rPr>
      </w:pPr>
      <w:r w:rsidRPr="000B0FE4">
        <w:rPr>
          <w:rFonts w:ascii="Times New Roman" w:hAnsi="Times New Roman"/>
          <w:b w:val="0"/>
          <w:color w:val="000000" w:themeColor="text1"/>
          <w:sz w:val="22"/>
          <w:szCs w:val="22"/>
        </w:rPr>
        <w:t xml:space="preserve">Üyelik Anlaşması kapsamındaki ürün kullanım hakları sözleşmenin imzalanmasını takiben 10 iş günü içersinde açılacaktır. Anlaşma kapsamına dâhil edilen yazılım lisansları kabulü, anlaşmanın VLSC’de görüntülenen açılış tarihinden itibaren en geç 3 iş günü içerisinde yapılacaktır. </w:t>
      </w:r>
    </w:p>
    <w:p w:rsidR="000B0FE4" w:rsidRPr="000B0FE4" w:rsidRDefault="000B0FE4" w:rsidP="000B0FE4">
      <w:pPr>
        <w:rPr>
          <w:color w:val="000000" w:themeColor="text1"/>
        </w:rPr>
      </w:pPr>
    </w:p>
    <w:p w:rsidR="00FD35B8" w:rsidRPr="000B0FE4" w:rsidRDefault="00FD35B8" w:rsidP="000B0FE4">
      <w:pPr>
        <w:jc w:val="center"/>
        <w:rPr>
          <w:sz w:val="32"/>
          <w:szCs w:val="32"/>
        </w:rPr>
      </w:pPr>
    </w:p>
    <w:sectPr w:rsidR="00FD35B8" w:rsidRPr="000B0FE4" w:rsidSect="000B0FE4">
      <w:footerReference w:type="even" r:id="rId10"/>
      <w:footerReference w:type="default" r:id="rId11"/>
      <w:pgSz w:w="11906" w:h="16838"/>
      <w:pgMar w:top="0" w:right="748" w:bottom="426"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11" w:rsidRDefault="00517011" w:rsidP="0043275F">
      <w:r>
        <w:separator/>
      </w:r>
    </w:p>
  </w:endnote>
  <w:endnote w:type="continuationSeparator" w:id="0">
    <w:p w:rsidR="00517011" w:rsidRDefault="0051701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51701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4F4C">
      <w:rPr>
        <w:rStyle w:val="SayfaNumaras"/>
        <w:noProof/>
      </w:rPr>
      <w:t>3</w:t>
    </w:r>
    <w:r>
      <w:rPr>
        <w:rStyle w:val="SayfaNumaras"/>
      </w:rPr>
      <w:fldChar w:fldCharType="end"/>
    </w:r>
  </w:p>
  <w:p w:rsidR="000C0DB8" w:rsidRDefault="005170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11" w:rsidRDefault="00517011" w:rsidP="0043275F">
      <w:r>
        <w:separator/>
      </w:r>
    </w:p>
  </w:footnote>
  <w:footnote w:type="continuationSeparator" w:id="0">
    <w:p w:rsidR="00517011" w:rsidRDefault="00517011"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B846BFB"/>
    <w:multiLevelType w:val="multilevel"/>
    <w:tmpl w:val="FCAA97E2"/>
    <w:lvl w:ilvl="0">
      <w:start w:val="1"/>
      <w:numFmt w:val="decimal"/>
      <w:lvlText w:val="%1"/>
      <w:lvlJc w:val="left"/>
      <w:pPr>
        <w:ind w:left="375" w:hanging="375"/>
      </w:pPr>
      <w:rPr>
        <w:rFonts w:ascii="Tahoma" w:hAnsi="Tahoma" w:cs="Tahoma" w:hint="default"/>
        <w:b/>
        <w:sz w:val="24"/>
        <w:szCs w:val="24"/>
      </w:rPr>
    </w:lvl>
    <w:lvl w:ilvl="1">
      <w:start w:val="1"/>
      <w:numFmt w:val="decimal"/>
      <w:lvlText w:val="%1.%2"/>
      <w:lvlJc w:val="left"/>
      <w:pPr>
        <w:ind w:left="1080" w:hanging="720"/>
      </w:pPr>
      <w:rPr>
        <w:rFonts w:ascii="Tahoma" w:hAnsi="Tahoma" w:cs="Tahoma" w:hint="default"/>
        <w:b/>
        <w:color w:val="auto"/>
        <w:sz w:val="22"/>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8" w15:restartNumberingAfterBreak="0">
    <w:nsid w:val="31DA346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BA4CFB"/>
    <w:multiLevelType w:val="multilevel"/>
    <w:tmpl w:val="35BA4CFB"/>
    <w:lvl w:ilvl="0">
      <w:start w:val="1"/>
      <w:numFmt w:val="bullet"/>
      <w:lvlText w:val=""/>
      <w:lvlJc w:val="left"/>
      <w:pPr>
        <w:tabs>
          <w:tab w:val="decimal" w:pos="432"/>
        </w:tabs>
        <w:ind w:left="720"/>
      </w:pPr>
      <w:rPr>
        <w:rFonts w:ascii="Symbol" w:hAnsi="Symbol"/>
        <w:strike w:val="0"/>
        <w:color w:val="000000"/>
        <w:spacing w:val="16"/>
        <w:w w:val="100"/>
        <w:sz w:val="22"/>
        <w:vertAlign w:val="baseline"/>
        <w:lang w:val="tr-TR"/>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0"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2" w15:restartNumberingAfterBreak="0">
    <w:nsid w:val="45CD091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D65984"/>
    <w:multiLevelType w:val="multilevel"/>
    <w:tmpl w:val="DB4ED1EA"/>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4" w15:restartNumberingAfterBreak="0">
    <w:nsid w:val="55B727E0"/>
    <w:multiLevelType w:val="multilevel"/>
    <w:tmpl w:val="F2F6777E"/>
    <w:lvl w:ilvl="0">
      <w:start w:val="1"/>
      <w:numFmt w:val="decimal"/>
      <w:suff w:val="space"/>
      <w:lvlText w:val="%1."/>
      <w:lvlJc w:val="left"/>
      <w:pPr>
        <w:ind w:left="57" w:hanging="57"/>
      </w:pPr>
      <w:rPr>
        <w:rFonts w:hint="default"/>
      </w:rPr>
    </w:lvl>
    <w:lvl w:ilvl="1">
      <w:start w:val="1"/>
      <w:numFmt w:val="decimal"/>
      <w:lvlText w:val="%1.%2"/>
      <w:lvlJc w:val="left"/>
      <w:pPr>
        <w:ind w:left="57" w:hanging="57"/>
      </w:pPr>
      <w:rPr>
        <w:rFonts w:hint="default"/>
        <w:b/>
      </w:rPr>
    </w:lvl>
    <w:lvl w:ilvl="2">
      <w:start w:val="1"/>
      <w:numFmt w:val="bullet"/>
      <w:lvlText w:val=""/>
      <w:lvlJc w:val="left"/>
      <w:pPr>
        <w:ind w:left="284" w:hanging="171"/>
      </w:pPr>
      <w:rPr>
        <w:rFonts w:ascii="Symbol" w:hAnsi="Symbol"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5" w15:restartNumberingAfterBreak="0">
    <w:nsid w:val="5DDE58DF"/>
    <w:multiLevelType w:val="multilevel"/>
    <w:tmpl w:val="48EE1E7E"/>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20"/>
      <w:numFmt w:val="bullet"/>
      <w:lvlText w:val="-"/>
      <w:lvlJc w:val="left"/>
      <w:pPr>
        <w:ind w:left="1505" w:hanging="360"/>
      </w:pPr>
      <w:rPr>
        <w:rFonts w:ascii="Arial" w:eastAsiaTheme="minorHAnsi" w:hAnsi="Arial" w:cs="Arial"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5E037262"/>
    <w:multiLevelType w:val="multilevel"/>
    <w:tmpl w:val="BD02930C"/>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6B212917"/>
    <w:multiLevelType w:val="hybridMultilevel"/>
    <w:tmpl w:val="2FA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1242A"/>
    <w:multiLevelType w:val="hybridMultilevel"/>
    <w:tmpl w:val="3B28E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F6148D"/>
    <w:multiLevelType w:val="hybridMultilevel"/>
    <w:tmpl w:val="144CEF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0"/>
  </w:num>
  <w:num w:numId="2">
    <w:abstractNumId w:val="17"/>
  </w:num>
  <w:num w:numId="3">
    <w:abstractNumId w:val="7"/>
  </w:num>
  <w:num w:numId="4">
    <w:abstractNumId w:val="1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6"/>
  </w:num>
  <w:num w:numId="15">
    <w:abstractNumId w:val="9"/>
  </w:num>
  <w:num w:numId="16">
    <w:abstractNumId w:val="18"/>
  </w:num>
  <w:num w:numId="17">
    <w:abstractNumId w:val="14"/>
  </w:num>
  <w:num w:numId="18">
    <w:abstractNumId w:val="16"/>
  </w:num>
  <w:num w:numId="19">
    <w:abstractNumId w:val="11"/>
  </w:num>
  <w:num w:numId="20">
    <w:abstractNumId w:val="8"/>
  </w:num>
  <w:num w:numId="21">
    <w:abstractNumId w:val="12"/>
  </w:num>
  <w:num w:numId="22">
    <w:abstractNumId w:val="13"/>
  </w:num>
  <w:num w:numId="23">
    <w:abstractNumId w:val="15"/>
  </w:num>
  <w:num w:numId="24">
    <w:abstractNumId w:val="20"/>
  </w:num>
  <w:num w:numId="25">
    <w:abstractNumId w:val="19"/>
  </w:num>
  <w:num w:numId="2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0FE4"/>
    <w:rsid w:val="000B273B"/>
    <w:rsid w:val="000B67FE"/>
    <w:rsid w:val="000B7E43"/>
    <w:rsid w:val="000C1F76"/>
    <w:rsid w:val="000C3EA3"/>
    <w:rsid w:val="000C66CE"/>
    <w:rsid w:val="000E0326"/>
    <w:rsid w:val="000E205D"/>
    <w:rsid w:val="000E4F4C"/>
    <w:rsid w:val="00106237"/>
    <w:rsid w:val="00124BAF"/>
    <w:rsid w:val="00130B31"/>
    <w:rsid w:val="001428D6"/>
    <w:rsid w:val="0017088F"/>
    <w:rsid w:val="00177EAE"/>
    <w:rsid w:val="00182113"/>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06FF8"/>
    <w:rsid w:val="0023518D"/>
    <w:rsid w:val="002367C1"/>
    <w:rsid w:val="002374C9"/>
    <w:rsid w:val="002459CA"/>
    <w:rsid w:val="00246BB2"/>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97FE5"/>
    <w:rsid w:val="003A4750"/>
    <w:rsid w:val="003B3F4E"/>
    <w:rsid w:val="003C5AD3"/>
    <w:rsid w:val="003E1776"/>
    <w:rsid w:val="003E7F4F"/>
    <w:rsid w:val="003F0F85"/>
    <w:rsid w:val="004055C8"/>
    <w:rsid w:val="00410A74"/>
    <w:rsid w:val="00422021"/>
    <w:rsid w:val="00422D42"/>
    <w:rsid w:val="00427EE5"/>
    <w:rsid w:val="00432231"/>
    <w:rsid w:val="0043275F"/>
    <w:rsid w:val="0043414F"/>
    <w:rsid w:val="00443184"/>
    <w:rsid w:val="00443BA1"/>
    <w:rsid w:val="00455BB0"/>
    <w:rsid w:val="0046767E"/>
    <w:rsid w:val="00474A0A"/>
    <w:rsid w:val="004751BA"/>
    <w:rsid w:val="00476F08"/>
    <w:rsid w:val="00493583"/>
    <w:rsid w:val="004D20FF"/>
    <w:rsid w:val="004D38F7"/>
    <w:rsid w:val="004E48F3"/>
    <w:rsid w:val="004F02F1"/>
    <w:rsid w:val="004F4700"/>
    <w:rsid w:val="004F4BD2"/>
    <w:rsid w:val="005015AC"/>
    <w:rsid w:val="00503481"/>
    <w:rsid w:val="00507A84"/>
    <w:rsid w:val="00515BB0"/>
    <w:rsid w:val="00517011"/>
    <w:rsid w:val="00530BEF"/>
    <w:rsid w:val="0053200C"/>
    <w:rsid w:val="00532477"/>
    <w:rsid w:val="00543C81"/>
    <w:rsid w:val="00544577"/>
    <w:rsid w:val="00563272"/>
    <w:rsid w:val="005645CD"/>
    <w:rsid w:val="005735D9"/>
    <w:rsid w:val="005905A2"/>
    <w:rsid w:val="005B3EE3"/>
    <w:rsid w:val="005C6CED"/>
    <w:rsid w:val="005D1E49"/>
    <w:rsid w:val="005D5A10"/>
    <w:rsid w:val="005D7594"/>
    <w:rsid w:val="005F03B0"/>
    <w:rsid w:val="005F5C53"/>
    <w:rsid w:val="0060247C"/>
    <w:rsid w:val="00611F46"/>
    <w:rsid w:val="00613765"/>
    <w:rsid w:val="006229FB"/>
    <w:rsid w:val="006351E0"/>
    <w:rsid w:val="006414C1"/>
    <w:rsid w:val="00655AE7"/>
    <w:rsid w:val="0065788E"/>
    <w:rsid w:val="00686C1F"/>
    <w:rsid w:val="00687A24"/>
    <w:rsid w:val="00691C7C"/>
    <w:rsid w:val="00695347"/>
    <w:rsid w:val="00695E84"/>
    <w:rsid w:val="00697168"/>
    <w:rsid w:val="006A0D1B"/>
    <w:rsid w:val="006A44C6"/>
    <w:rsid w:val="006A7434"/>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0A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B6C98"/>
    <w:rsid w:val="008C164B"/>
    <w:rsid w:val="008D1BE0"/>
    <w:rsid w:val="008E7F03"/>
    <w:rsid w:val="008F5CAA"/>
    <w:rsid w:val="009122F5"/>
    <w:rsid w:val="00917548"/>
    <w:rsid w:val="0092085C"/>
    <w:rsid w:val="0092279C"/>
    <w:rsid w:val="00926CC2"/>
    <w:rsid w:val="00933F7C"/>
    <w:rsid w:val="009365B7"/>
    <w:rsid w:val="009378AB"/>
    <w:rsid w:val="0094230C"/>
    <w:rsid w:val="00950217"/>
    <w:rsid w:val="00955299"/>
    <w:rsid w:val="009571B2"/>
    <w:rsid w:val="0096548E"/>
    <w:rsid w:val="00985EDD"/>
    <w:rsid w:val="0099039A"/>
    <w:rsid w:val="00997BAE"/>
    <w:rsid w:val="009A4655"/>
    <w:rsid w:val="009F5909"/>
    <w:rsid w:val="009F77B8"/>
    <w:rsid w:val="00A00E34"/>
    <w:rsid w:val="00A24561"/>
    <w:rsid w:val="00A34FEA"/>
    <w:rsid w:val="00A37033"/>
    <w:rsid w:val="00A42B69"/>
    <w:rsid w:val="00A5756C"/>
    <w:rsid w:val="00A63E2D"/>
    <w:rsid w:val="00A7103E"/>
    <w:rsid w:val="00A72CA4"/>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930B7"/>
    <w:rsid w:val="00BA4820"/>
    <w:rsid w:val="00BA4CD5"/>
    <w:rsid w:val="00BB5182"/>
    <w:rsid w:val="00BB6094"/>
    <w:rsid w:val="00BC07D8"/>
    <w:rsid w:val="00BD7189"/>
    <w:rsid w:val="00BE09BA"/>
    <w:rsid w:val="00BE317D"/>
    <w:rsid w:val="00BE5204"/>
    <w:rsid w:val="00C03F94"/>
    <w:rsid w:val="00C04550"/>
    <w:rsid w:val="00C069E4"/>
    <w:rsid w:val="00C10FE4"/>
    <w:rsid w:val="00C12F96"/>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A3265"/>
    <w:rsid w:val="00EB513A"/>
    <w:rsid w:val="00EC3D09"/>
    <w:rsid w:val="00ED4AFA"/>
    <w:rsid w:val="00EE5BAD"/>
    <w:rsid w:val="00EE6FD0"/>
    <w:rsid w:val="00EF0473"/>
    <w:rsid w:val="00EF2949"/>
    <w:rsid w:val="00EF2EBB"/>
    <w:rsid w:val="00F02CA1"/>
    <w:rsid w:val="00F044E4"/>
    <w:rsid w:val="00F10EAD"/>
    <w:rsid w:val="00F20304"/>
    <w:rsid w:val="00F20945"/>
    <w:rsid w:val="00F23BDA"/>
    <w:rsid w:val="00F24902"/>
    <w:rsid w:val="00F26E66"/>
    <w:rsid w:val="00F30242"/>
    <w:rsid w:val="00F30DE9"/>
    <w:rsid w:val="00F367AC"/>
    <w:rsid w:val="00F41C2A"/>
    <w:rsid w:val="00F56005"/>
    <w:rsid w:val="00F57D0C"/>
    <w:rsid w:val="00F62770"/>
    <w:rsid w:val="00F83333"/>
    <w:rsid w:val="00F84E7B"/>
    <w:rsid w:val="00F86380"/>
    <w:rsid w:val="00F97D05"/>
    <w:rsid w:val="00FA4060"/>
    <w:rsid w:val="00FA5F87"/>
    <w:rsid w:val="00FA73CA"/>
    <w:rsid w:val="00FB2C6C"/>
    <w:rsid w:val="00FC6E63"/>
    <w:rsid w:val="00FD300E"/>
    <w:rsid w:val="00FD35B8"/>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5FC30"/>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2B52-656D-453B-826D-CA58F3C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2019-09-05T07:19:00Z</dcterms:created>
  <dcterms:modified xsi:type="dcterms:W3CDTF">2019-09-05T07:24:00Z</dcterms:modified>
</cp:coreProperties>
</file>