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19B" w:rsidRPr="00522E00" w:rsidRDefault="0056219B" w:rsidP="00E73BC2">
      <w:pPr>
        <w:tabs>
          <w:tab w:val="left" w:pos="566"/>
        </w:tabs>
        <w:spacing w:after="0" w:line="240" w:lineRule="auto"/>
        <w:jc w:val="both"/>
        <w:rPr>
          <w:rFonts w:eastAsia="Times New Roman" w:cs="Times New Roman"/>
          <w:b/>
          <w:i/>
          <w:sz w:val="20"/>
          <w:szCs w:val="20"/>
        </w:rPr>
      </w:pPr>
    </w:p>
    <w:p w:rsidR="0056219B" w:rsidRPr="00522E00" w:rsidRDefault="0056219B" w:rsidP="0080228D">
      <w:pPr>
        <w:tabs>
          <w:tab w:val="left" w:pos="566"/>
        </w:tabs>
        <w:spacing w:after="0" w:line="240" w:lineRule="auto"/>
        <w:jc w:val="both"/>
        <w:rPr>
          <w:rFonts w:eastAsia="Times New Roman" w:cs="Times New Roman"/>
          <w:b/>
          <w:i/>
          <w:sz w:val="20"/>
          <w:szCs w:val="20"/>
        </w:rPr>
      </w:pPr>
    </w:p>
    <w:p w:rsidR="00F82134" w:rsidRPr="00B71F1D" w:rsidRDefault="00F82134" w:rsidP="0080228D">
      <w:pPr>
        <w:tabs>
          <w:tab w:val="left" w:pos="566"/>
        </w:tabs>
        <w:spacing w:after="0" w:line="240" w:lineRule="auto"/>
        <w:jc w:val="center"/>
        <w:rPr>
          <w:rFonts w:eastAsia="Times New Roman" w:cs="Times New Roman"/>
          <w:b/>
          <w:sz w:val="20"/>
          <w:szCs w:val="20"/>
        </w:rPr>
      </w:pPr>
      <w:r w:rsidRPr="00B71F1D">
        <w:rPr>
          <w:rFonts w:eastAsia="Times New Roman" w:cs="Times New Roman"/>
          <w:b/>
          <w:sz w:val="20"/>
          <w:szCs w:val="20"/>
        </w:rPr>
        <w:t>ULUDAĞ ÜNİVERSİTESİ</w:t>
      </w:r>
    </w:p>
    <w:p w:rsidR="00E73BC2" w:rsidRPr="00B71F1D" w:rsidRDefault="00F82134" w:rsidP="0080228D">
      <w:pPr>
        <w:tabs>
          <w:tab w:val="left" w:pos="566"/>
        </w:tabs>
        <w:spacing w:after="0" w:line="240" w:lineRule="auto"/>
        <w:jc w:val="center"/>
        <w:rPr>
          <w:rFonts w:eastAsia="Times New Roman" w:cs="Times New Roman"/>
          <w:sz w:val="20"/>
          <w:szCs w:val="20"/>
        </w:rPr>
      </w:pPr>
      <w:r w:rsidRPr="00B71F1D">
        <w:rPr>
          <w:rFonts w:eastAsia="Times New Roman" w:cs="Times New Roman"/>
          <w:sz w:val="20"/>
          <w:szCs w:val="20"/>
        </w:rPr>
        <w:t xml:space="preserve">Yükseköğretim Kurumlarında </w:t>
      </w:r>
      <w:proofErr w:type="spellStart"/>
      <w:r w:rsidRPr="00B71F1D">
        <w:rPr>
          <w:rFonts w:eastAsia="Times New Roman" w:cs="Times New Roman"/>
          <w:sz w:val="20"/>
          <w:szCs w:val="20"/>
        </w:rPr>
        <w:t>Önlisans</w:t>
      </w:r>
      <w:proofErr w:type="spellEnd"/>
      <w:r w:rsidRPr="00B71F1D">
        <w:rPr>
          <w:rFonts w:eastAsia="Times New Roman" w:cs="Times New Roman"/>
          <w:sz w:val="20"/>
          <w:szCs w:val="20"/>
        </w:rPr>
        <w:t xml:space="preserve"> ve Lisans Düzeyindeki Programlar Arasında Geçiş, Çift </w:t>
      </w:r>
      <w:proofErr w:type="spellStart"/>
      <w:r w:rsidRPr="00B71F1D">
        <w:rPr>
          <w:rFonts w:eastAsia="Times New Roman" w:cs="Times New Roman"/>
          <w:sz w:val="20"/>
          <w:szCs w:val="20"/>
        </w:rPr>
        <w:t>Anadal</w:t>
      </w:r>
      <w:proofErr w:type="spellEnd"/>
      <w:r w:rsidRPr="00B71F1D">
        <w:rPr>
          <w:rFonts w:eastAsia="Times New Roman" w:cs="Times New Roman"/>
          <w:sz w:val="20"/>
          <w:szCs w:val="20"/>
        </w:rPr>
        <w:t>, Yan Dal İle Kurumlar Arası Kredi Transferi Yapılması Esaslarına İlişkin Yönetmelik 1</w:t>
      </w:r>
      <w:r w:rsidR="0057629D" w:rsidRPr="00B71F1D">
        <w:rPr>
          <w:rFonts w:eastAsia="Times New Roman" w:cs="Times New Roman"/>
          <w:sz w:val="20"/>
          <w:szCs w:val="20"/>
        </w:rPr>
        <w:t>1</w:t>
      </w:r>
      <w:r w:rsidRPr="00B71F1D">
        <w:rPr>
          <w:rFonts w:eastAsia="Times New Roman" w:cs="Times New Roman"/>
          <w:sz w:val="20"/>
          <w:szCs w:val="20"/>
        </w:rPr>
        <w:t>.maddesi Uyarınca</w:t>
      </w:r>
    </w:p>
    <w:p w:rsidR="00E73BC2" w:rsidRPr="00B71F1D" w:rsidRDefault="00F82134" w:rsidP="0080228D">
      <w:pPr>
        <w:tabs>
          <w:tab w:val="left" w:pos="566"/>
        </w:tabs>
        <w:spacing w:after="0" w:line="240" w:lineRule="auto"/>
        <w:jc w:val="center"/>
        <w:rPr>
          <w:rFonts w:eastAsia="Times New Roman" w:cs="Times New Roman"/>
          <w:b/>
          <w:sz w:val="20"/>
          <w:szCs w:val="20"/>
          <w:u w:val="single"/>
        </w:rPr>
      </w:pPr>
      <w:r w:rsidRPr="00B71F1D">
        <w:rPr>
          <w:rFonts w:eastAsia="Times New Roman" w:cs="Times New Roman"/>
          <w:sz w:val="20"/>
          <w:szCs w:val="20"/>
        </w:rPr>
        <w:t xml:space="preserve"> </w:t>
      </w:r>
      <w:proofErr w:type="spellStart"/>
      <w:r w:rsidRPr="00B71F1D">
        <w:rPr>
          <w:rFonts w:eastAsia="Times New Roman" w:cs="Times New Roman"/>
          <w:b/>
          <w:sz w:val="20"/>
          <w:szCs w:val="20"/>
          <w:u w:val="single"/>
        </w:rPr>
        <w:t>Kurumlararası</w:t>
      </w:r>
      <w:proofErr w:type="spellEnd"/>
      <w:r w:rsidRPr="00B71F1D">
        <w:rPr>
          <w:rFonts w:eastAsia="Times New Roman" w:cs="Times New Roman"/>
          <w:b/>
          <w:sz w:val="20"/>
          <w:szCs w:val="20"/>
          <w:u w:val="single"/>
        </w:rPr>
        <w:t xml:space="preserve"> </w:t>
      </w:r>
    </w:p>
    <w:p w:rsidR="003E002F" w:rsidRPr="00B71F1D" w:rsidRDefault="00F82134" w:rsidP="0080228D">
      <w:pPr>
        <w:tabs>
          <w:tab w:val="left" w:pos="566"/>
        </w:tabs>
        <w:spacing w:after="0" w:line="240" w:lineRule="auto"/>
        <w:jc w:val="center"/>
        <w:rPr>
          <w:rFonts w:eastAsia="Times New Roman" w:cs="Times New Roman"/>
          <w:sz w:val="20"/>
          <w:szCs w:val="20"/>
        </w:rPr>
      </w:pPr>
      <w:r w:rsidRPr="00B71F1D">
        <w:rPr>
          <w:rFonts w:eastAsia="Times New Roman" w:cs="Times New Roman"/>
          <w:sz w:val="20"/>
          <w:szCs w:val="20"/>
        </w:rPr>
        <w:t>Yatay Geçiş Öğrencilerinden Aranacak Koşullar</w:t>
      </w:r>
      <w:r w:rsidR="000A4AEF" w:rsidRPr="00B71F1D">
        <w:rPr>
          <w:rFonts w:eastAsia="Times New Roman" w:cs="Times New Roman"/>
          <w:sz w:val="20"/>
          <w:szCs w:val="20"/>
        </w:rPr>
        <w:t xml:space="preserve"> </w:t>
      </w:r>
      <w:r w:rsidR="003E002F" w:rsidRPr="00B71F1D">
        <w:rPr>
          <w:rFonts w:eastAsia="Times New Roman" w:cs="Times New Roman"/>
          <w:sz w:val="20"/>
          <w:szCs w:val="20"/>
        </w:rPr>
        <w:t>ile Değerlendirme ve Yerleştirme</w:t>
      </w:r>
      <w:r w:rsidR="00A167CE" w:rsidRPr="00B71F1D">
        <w:rPr>
          <w:rFonts w:eastAsia="Times New Roman" w:cs="Times New Roman"/>
          <w:sz w:val="20"/>
          <w:szCs w:val="20"/>
        </w:rPr>
        <w:t xml:space="preserve"> Esasları</w:t>
      </w:r>
    </w:p>
    <w:p w:rsidR="00F82134" w:rsidRPr="00B71F1D" w:rsidRDefault="00F82134" w:rsidP="0080228D">
      <w:pPr>
        <w:tabs>
          <w:tab w:val="left" w:pos="566"/>
        </w:tabs>
        <w:spacing w:after="0" w:line="240" w:lineRule="auto"/>
        <w:jc w:val="center"/>
        <w:rPr>
          <w:rFonts w:eastAsia="Times New Roman" w:cs="Times New Roman"/>
          <w:sz w:val="20"/>
          <w:szCs w:val="20"/>
        </w:rPr>
      </w:pPr>
    </w:p>
    <w:p w:rsidR="00D747FB" w:rsidRPr="00B71F1D" w:rsidRDefault="00D747FB" w:rsidP="00D747FB">
      <w:pPr>
        <w:pStyle w:val="ListeParagraf"/>
        <w:tabs>
          <w:tab w:val="left" w:pos="284"/>
        </w:tabs>
        <w:spacing w:after="0" w:line="240" w:lineRule="auto"/>
        <w:ind w:left="0"/>
        <w:jc w:val="both"/>
        <w:rPr>
          <w:rFonts w:eastAsia="Times New Roman" w:cs="Times New Roman"/>
          <w:sz w:val="20"/>
          <w:szCs w:val="20"/>
        </w:rPr>
      </w:pPr>
      <w:r w:rsidRPr="00B71F1D">
        <w:rPr>
          <w:rFonts w:eastAsia="Times New Roman" w:cs="Times New Roman"/>
          <w:b/>
          <w:sz w:val="20"/>
          <w:szCs w:val="20"/>
        </w:rPr>
        <w:t>Tanım:</w:t>
      </w:r>
      <w:r w:rsidRPr="00B71F1D">
        <w:rPr>
          <w:rFonts w:eastAsia="Times New Roman" w:cs="Times New Roman"/>
          <w:sz w:val="20"/>
          <w:szCs w:val="20"/>
        </w:rPr>
        <w:t xml:space="preserve"> Kurumlar arası yatay geçiş yükseköğretim kurumlarının aynı düzeydeki eşdeğer diploma programları arasında ve Yükseköğretim Kurulu tarafından yayınlanan kontenjanlar çerçevesinde yapılır.</w:t>
      </w:r>
    </w:p>
    <w:p w:rsidR="00D747FB" w:rsidRPr="00B71F1D" w:rsidRDefault="00D747FB" w:rsidP="00D747FB">
      <w:pPr>
        <w:pStyle w:val="ListeParagraf"/>
        <w:tabs>
          <w:tab w:val="left" w:pos="284"/>
        </w:tabs>
        <w:spacing w:after="0" w:line="240" w:lineRule="auto"/>
        <w:ind w:left="0"/>
        <w:jc w:val="both"/>
        <w:rPr>
          <w:rFonts w:eastAsia="Times New Roman" w:cs="Times New Roman"/>
          <w:sz w:val="20"/>
          <w:szCs w:val="20"/>
        </w:rPr>
      </w:pPr>
    </w:p>
    <w:p w:rsidR="00D747FB" w:rsidRPr="00B71F1D" w:rsidRDefault="00D747FB" w:rsidP="00D747FB">
      <w:pPr>
        <w:pStyle w:val="ListeParagraf"/>
        <w:tabs>
          <w:tab w:val="left" w:pos="284"/>
        </w:tabs>
        <w:spacing w:after="0" w:line="240" w:lineRule="auto"/>
        <w:ind w:left="0"/>
        <w:jc w:val="both"/>
        <w:rPr>
          <w:rFonts w:eastAsia="Times New Roman" w:cs="Times New Roman"/>
          <w:sz w:val="20"/>
          <w:szCs w:val="20"/>
        </w:rPr>
      </w:pPr>
      <w:r w:rsidRPr="00B71F1D">
        <w:rPr>
          <w:rFonts w:eastAsia="Times New Roman" w:cs="Times New Roman"/>
          <w:sz w:val="20"/>
          <w:szCs w:val="20"/>
        </w:rPr>
        <w:t>Eşdeğer diploma programı: İsimleri aynı olan veya ilgili yönetim kurulları tarafından içeriklerinin en az yüzde sekseni aynı olduğu tespit edilen diploma programlarıdır.</w:t>
      </w:r>
    </w:p>
    <w:p w:rsidR="00D747FB" w:rsidRPr="00B71F1D" w:rsidRDefault="00D747FB" w:rsidP="00D747FB">
      <w:pPr>
        <w:tabs>
          <w:tab w:val="left" w:pos="566"/>
        </w:tabs>
        <w:spacing w:after="0" w:line="240" w:lineRule="auto"/>
        <w:jc w:val="both"/>
        <w:rPr>
          <w:rFonts w:eastAsia="Times New Roman" w:cs="Times New Roman"/>
          <w:b/>
          <w:sz w:val="20"/>
          <w:szCs w:val="20"/>
        </w:rPr>
      </w:pPr>
      <w:r w:rsidRPr="00B71F1D">
        <w:rPr>
          <w:rFonts w:ascii="Arial" w:eastAsia="Times New Roman" w:hAnsi="Arial" w:cs="Arial"/>
          <w:color w:val="333333"/>
          <w:sz w:val="20"/>
          <w:szCs w:val="20"/>
          <w:lang w:eastAsia="tr-TR"/>
        </w:rPr>
        <w:t xml:space="preserve"> </w:t>
      </w:r>
      <w:r w:rsidRPr="00B71F1D">
        <w:rPr>
          <w:rFonts w:ascii="Arial" w:eastAsia="Times New Roman" w:hAnsi="Arial" w:cs="Arial"/>
          <w:color w:val="333333"/>
          <w:sz w:val="20"/>
          <w:szCs w:val="20"/>
          <w:lang w:eastAsia="tr-TR"/>
        </w:rPr>
        <w:br/>
      </w:r>
      <w:r w:rsidRPr="00B71F1D">
        <w:rPr>
          <w:rFonts w:eastAsia="Times New Roman" w:cs="Times New Roman"/>
          <w:b/>
          <w:sz w:val="20"/>
          <w:szCs w:val="20"/>
        </w:rPr>
        <w:t>Aranacak Koşullar ve Kriterler</w:t>
      </w:r>
    </w:p>
    <w:p w:rsidR="00C94AB8" w:rsidRPr="00B71F1D" w:rsidRDefault="0056088E" w:rsidP="00E73BC2">
      <w:pPr>
        <w:pStyle w:val="ListeParagraf"/>
        <w:numPr>
          <w:ilvl w:val="0"/>
          <w:numId w:val="4"/>
        </w:numPr>
        <w:tabs>
          <w:tab w:val="left" w:pos="284"/>
        </w:tabs>
        <w:spacing w:after="0" w:line="240" w:lineRule="auto"/>
        <w:ind w:left="0" w:firstLine="0"/>
        <w:jc w:val="both"/>
        <w:rPr>
          <w:rFonts w:eastAsia="Times New Roman" w:cs="Times New Roman"/>
          <w:sz w:val="20"/>
          <w:szCs w:val="20"/>
        </w:rPr>
      </w:pPr>
      <w:r w:rsidRPr="00B71F1D">
        <w:rPr>
          <w:rFonts w:eastAsia="Times New Roman" w:cs="Times New Roman"/>
          <w:sz w:val="20"/>
          <w:szCs w:val="20"/>
        </w:rPr>
        <w:t xml:space="preserve">a) </w:t>
      </w:r>
      <w:r w:rsidR="00C94AB8" w:rsidRPr="00B71F1D">
        <w:rPr>
          <w:rFonts w:eastAsia="Times New Roman" w:cs="Times New Roman"/>
          <w:sz w:val="20"/>
          <w:szCs w:val="20"/>
        </w:rPr>
        <w:t xml:space="preserve">Yatay geçiş başvurusunda bulunacak öğrencinin kayıtlı olduğu programda bitirmiş olduğu dönemlere ait genel not ortalamasının </w:t>
      </w:r>
      <w:r w:rsidR="006E2186" w:rsidRPr="00B71F1D">
        <w:rPr>
          <w:rFonts w:eastAsia="Times New Roman" w:cs="Times New Roman"/>
          <w:sz w:val="20"/>
          <w:szCs w:val="20"/>
        </w:rPr>
        <w:t xml:space="preserve">4 üzerinden </w:t>
      </w:r>
      <w:r w:rsidR="00AE57F3" w:rsidRPr="00B71F1D">
        <w:rPr>
          <w:rFonts w:eastAsia="Times New Roman" w:cs="Times New Roman"/>
          <w:sz w:val="20"/>
          <w:szCs w:val="20"/>
        </w:rPr>
        <w:t xml:space="preserve">en az </w:t>
      </w:r>
      <w:r w:rsidR="006E2186" w:rsidRPr="00B71F1D">
        <w:rPr>
          <w:rFonts w:eastAsia="Times New Roman" w:cs="Times New Roman"/>
          <w:sz w:val="20"/>
          <w:szCs w:val="20"/>
        </w:rPr>
        <w:t>2,29</w:t>
      </w:r>
      <w:r w:rsidR="00C94AB8" w:rsidRPr="00B71F1D">
        <w:rPr>
          <w:rFonts w:eastAsia="Times New Roman" w:cs="Times New Roman"/>
          <w:sz w:val="20"/>
          <w:szCs w:val="20"/>
        </w:rPr>
        <w:t xml:space="preserve"> (100 üzerinden </w:t>
      </w:r>
      <w:r w:rsidR="006E2186" w:rsidRPr="00B71F1D">
        <w:rPr>
          <w:rFonts w:eastAsia="Times New Roman" w:cs="Times New Roman"/>
          <w:sz w:val="20"/>
          <w:szCs w:val="20"/>
        </w:rPr>
        <w:t>6</w:t>
      </w:r>
      <w:r w:rsidR="00C94AB8" w:rsidRPr="00B71F1D">
        <w:rPr>
          <w:rFonts w:eastAsia="Times New Roman" w:cs="Times New Roman"/>
          <w:sz w:val="20"/>
          <w:szCs w:val="20"/>
        </w:rPr>
        <w:t xml:space="preserve">0) veya eşdeğeri olması, </w:t>
      </w:r>
    </w:p>
    <w:p w:rsidR="0056088E" w:rsidRPr="00B71F1D" w:rsidRDefault="0056088E" w:rsidP="0056088E">
      <w:pPr>
        <w:pStyle w:val="ListeParagraf"/>
        <w:tabs>
          <w:tab w:val="left" w:pos="284"/>
        </w:tabs>
        <w:spacing w:after="0" w:line="240" w:lineRule="auto"/>
        <w:ind w:left="0"/>
        <w:jc w:val="both"/>
        <w:rPr>
          <w:rFonts w:eastAsia="Times New Roman" w:cs="Times New Roman"/>
          <w:sz w:val="20"/>
          <w:szCs w:val="20"/>
        </w:rPr>
      </w:pPr>
      <w:r w:rsidRPr="00B71F1D">
        <w:rPr>
          <w:rFonts w:eastAsia="Times New Roman" w:cs="Times New Roman"/>
          <w:sz w:val="20"/>
          <w:szCs w:val="20"/>
        </w:rPr>
        <w:tab/>
        <w:t>b) Kontenjan dolmaması halinde geçiş yapılacak sınıfın ÖSYM taban puanına eşit veya</w:t>
      </w:r>
      <w:r w:rsidR="009D4D92" w:rsidRPr="00B71F1D">
        <w:rPr>
          <w:rFonts w:eastAsia="Times New Roman" w:cs="Times New Roman"/>
          <w:sz w:val="20"/>
          <w:szCs w:val="20"/>
        </w:rPr>
        <w:t xml:space="preserve"> yüksek puana sah</w:t>
      </w:r>
      <w:r w:rsidR="00CB6F71" w:rsidRPr="00B71F1D">
        <w:rPr>
          <w:rFonts w:eastAsia="Times New Roman" w:cs="Times New Roman"/>
          <w:sz w:val="20"/>
          <w:szCs w:val="20"/>
        </w:rPr>
        <w:t>ip olanlar arasında,</w:t>
      </w:r>
      <w:r w:rsidR="009D4D92" w:rsidRPr="00B71F1D">
        <w:rPr>
          <w:rFonts w:eastAsia="Times New Roman" w:cs="Times New Roman"/>
          <w:sz w:val="20"/>
          <w:szCs w:val="20"/>
        </w:rPr>
        <w:t xml:space="preserve"> </w:t>
      </w:r>
      <w:r w:rsidRPr="00B71F1D">
        <w:rPr>
          <w:rFonts w:eastAsia="Times New Roman" w:cs="Times New Roman"/>
          <w:sz w:val="20"/>
          <w:szCs w:val="20"/>
        </w:rPr>
        <w:t>genel not ortalaması 4 üzerinden en az 2,00 (100 üzerinden 53,33)</w:t>
      </w:r>
      <w:r w:rsidR="009D4D92" w:rsidRPr="00B71F1D">
        <w:rPr>
          <w:rFonts w:eastAsia="Times New Roman" w:cs="Times New Roman"/>
          <w:sz w:val="20"/>
          <w:szCs w:val="20"/>
        </w:rPr>
        <w:t xml:space="preserve"> veya eşdeğeri puanı sağlayanlar değerlendirme</w:t>
      </w:r>
      <w:r w:rsidR="0070029A" w:rsidRPr="00B71F1D">
        <w:rPr>
          <w:rFonts w:eastAsia="Times New Roman" w:cs="Times New Roman"/>
          <w:sz w:val="20"/>
          <w:szCs w:val="20"/>
        </w:rPr>
        <w:t>ye</w:t>
      </w:r>
      <w:r w:rsidR="009D4D92" w:rsidRPr="00B71F1D">
        <w:rPr>
          <w:rFonts w:eastAsia="Times New Roman" w:cs="Times New Roman"/>
          <w:sz w:val="20"/>
          <w:szCs w:val="20"/>
        </w:rPr>
        <w:t xml:space="preserve"> </w:t>
      </w:r>
      <w:r w:rsidR="0070029A" w:rsidRPr="00B71F1D">
        <w:rPr>
          <w:rFonts w:eastAsia="Times New Roman" w:cs="Times New Roman"/>
          <w:sz w:val="20"/>
          <w:szCs w:val="20"/>
        </w:rPr>
        <w:t>alınır</w:t>
      </w:r>
      <w:r w:rsidR="0000198D" w:rsidRPr="00B71F1D">
        <w:rPr>
          <w:rFonts w:eastAsia="Times New Roman" w:cs="Times New Roman"/>
          <w:sz w:val="20"/>
          <w:szCs w:val="20"/>
        </w:rPr>
        <w:t>.</w:t>
      </w:r>
    </w:p>
    <w:p w:rsidR="00F82134" w:rsidRPr="00B71F1D" w:rsidRDefault="00F82134" w:rsidP="00E73BC2">
      <w:pPr>
        <w:pStyle w:val="ListeParagraf"/>
        <w:numPr>
          <w:ilvl w:val="0"/>
          <w:numId w:val="4"/>
        </w:numPr>
        <w:tabs>
          <w:tab w:val="left" w:pos="284"/>
        </w:tabs>
        <w:spacing w:after="0" w:line="240" w:lineRule="auto"/>
        <w:ind w:left="0" w:firstLine="0"/>
        <w:jc w:val="both"/>
        <w:rPr>
          <w:rFonts w:eastAsia="Times New Roman" w:cs="Times New Roman"/>
          <w:sz w:val="20"/>
          <w:szCs w:val="20"/>
        </w:rPr>
      </w:pPr>
      <w:r w:rsidRPr="00B71F1D">
        <w:rPr>
          <w:rFonts w:eastAsia="Times New Roman" w:cs="Times New Roman"/>
          <w:sz w:val="20"/>
          <w:szCs w:val="20"/>
        </w:rPr>
        <w:t xml:space="preserve">Ayrılacağı kurumdaki </w:t>
      </w:r>
      <w:r w:rsidR="001A5376" w:rsidRPr="00B71F1D">
        <w:rPr>
          <w:rFonts w:eastAsia="Times New Roman" w:cs="Times New Roman"/>
          <w:sz w:val="20"/>
          <w:szCs w:val="20"/>
        </w:rPr>
        <w:t xml:space="preserve">müfredat gereği </w:t>
      </w:r>
      <w:r w:rsidR="00B07958" w:rsidRPr="00B71F1D">
        <w:rPr>
          <w:rFonts w:eastAsia="Times New Roman" w:cs="Times New Roman"/>
          <w:sz w:val="20"/>
          <w:szCs w:val="20"/>
        </w:rPr>
        <w:t>bitirmiş olduğu dönemlere ait</w:t>
      </w:r>
      <w:r w:rsidR="001A5376" w:rsidRPr="00B71F1D">
        <w:rPr>
          <w:rFonts w:eastAsia="Times New Roman" w:cs="Times New Roman"/>
          <w:sz w:val="20"/>
          <w:szCs w:val="20"/>
        </w:rPr>
        <w:t xml:space="preserve"> </w:t>
      </w:r>
      <w:r w:rsidRPr="00B71F1D">
        <w:rPr>
          <w:rFonts w:eastAsia="Times New Roman" w:cs="Times New Roman"/>
          <w:sz w:val="20"/>
          <w:szCs w:val="20"/>
        </w:rPr>
        <w:t>bütün derslerini başarmış olmak,</w:t>
      </w:r>
    </w:p>
    <w:p w:rsidR="00F82134" w:rsidRPr="00B71F1D" w:rsidRDefault="00F82134" w:rsidP="00E73BC2">
      <w:pPr>
        <w:pStyle w:val="ListeParagraf"/>
        <w:numPr>
          <w:ilvl w:val="0"/>
          <w:numId w:val="4"/>
        </w:numPr>
        <w:tabs>
          <w:tab w:val="left" w:pos="284"/>
        </w:tabs>
        <w:spacing w:after="0" w:line="240" w:lineRule="auto"/>
        <w:ind w:left="0" w:firstLine="0"/>
        <w:jc w:val="both"/>
        <w:rPr>
          <w:rFonts w:eastAsia="Times New Roman" w:cs="Times New Roman"/>
          <w:sz w:val="20"/>
          <w:szCs w:val="20"/>
        </w:rPr>
      </w:pPr>
      <w:r w:rsidRPr="00B71F1D">
        <w:rPr>
          <w:rFonts w:eastAsia="Times New Roman" w:cs="Times New Roman"/>
          <w:sz w:val="20"/>
          <w:szCs w:val="20"/>
        </w:rPr>
        <w:t>Disiplin cezası almamış olmak,</w:t>
      </w:r>
    </w:p>
    <w:p w:rsidR="00130E1A" w:rsidRPr="00B71F1D" w:rsidRDefault="00130E1A" w:rsidP="00130E1A">
      <w:pPr>
        <w:pStyle w:val="ListeParagraf"/>
        <w:numPr>
          <w:ilvl w:val="0"/>
          <w:numId w:val="4"/>
        </w:numPr>
        <w:tabs>
          <w:tab w:val="left" w:pos="284"/>
        </w:tabs>
        <w:spacing w:after="0" w:line="240" w:lineRule="auto"/>
        <w:ind w:left="0" w:firstLine="0"/>
        <w:jc w:val="both"/>
        <w:rPr>
          <w:rFonts w:eastAsia="Times New Roman" w:cs="Times New Roman"/>
          <w:sz w:val="20"/>
          <w:szCs w:val="20"/>
        </w:rPr>
      </w:pPr>
      <w:r w:rsidRPr="00B71F1D">
        <w:rPr>
          <w:rFonts w:eastAsia="Times New Roman" w:cs="Times New Roman"/>
          <w:sz w:val="20"/>
          <w:szCs w:val="20"/>
        </w:rPr>
        <w:t xml:space="preserve">2010 ve sonrasında ÖSYS ile yerleşecek öğrencilerden; zorunlu yabancı dil hazırlık sınıfı bulunan bölüm/programlar için başvuracak olanların hazırlık sınıfını başarmış veya </w:t>
      </w:r>
      <w:r w:rsidR="00910297" w:rsidRPr="00B71F1D">
        <w:rPr>
          <w:rFonts w:eastAsia="Times New Roman" w:cs="Times New Roman"/>
          <w:sz w:val="20"/>
          <w:szCs w:val="20"/>
        </w:rPr>
        <w:t>U.Ü.</w:t>
      </w:r>
      <w:r w:rsidRPr="00B71F1D">
        <w:rPr>
          <w:rFonts w:eastAsia="Times New Roman" w:cs="Times New Roman"/>
          <w:sz w:val="20"/>
          <w:szCs w:val="20"/>
        </w:rPr>
        <w:t>Yabancı Diller Hazırlık Öğretim Yönergesinde belirlenen sınavlardan istenen puanları almış olması gerekmektedir</w:t>
      </w:r>
    </w:p>
    <w:p w:rsidR="00130E1A" w:rsidRPr="00B71F1D" w:rsidRDefault="00130E1A" w:rsidP="00130E1A">
      <w:pPr>
        <w:numPr>
          <w:ilvl w:val="0"/>
          <w:numId w:val="4"/>
        </w:numPr>
        <w:tabs>
          <w:tab w:val="left" w:pos="284"/>
        </w:tabs>
        <w:spacing w:after="0" w:line="240" w:lineRule="auto"/>
        <w:ind w:left="0" w:firstLine="0"/>
        <w:jc w:val="both"/>
        <w:rPr>
          <w:strike/>
          <w:sz w:val="20"/>
          <w:szCs w:val="20"/>
        </w:rPr>
      </w:pPr>
      <w:r w:rsidRPr="00B71F1D">
        <w:rPr>
          <w:rFonts w:eastAsia="Times New Roman" w:cs="Times New Roman"/>
          <w:sz w:val="20"/>
          <w:szCs w:val="20"/>
        </w:rPr>
        <w:t xml:space="preserve"> </w:t>
      </w:r>
      <w:r w:rsidRPr="00B71F1D">
        <w:rPr>
          <w:sz w:val="20"/>
          <w:szCs w:val="20"/>
        </w:rPr>
        <w:t xml:space="preserve">Yatay geçiş başvurularının değerlendirilmesinde, </w:t>
      </w:r>
      <w:r w:rsidR="008C64A1" w:rsidRPr="00B71F1D">
        <w:rPr>
          <w:sz w:val="20"/>
          <w:szCs w:val="20"/>
        </w:rPr>
        <w:t>sıralama</w:t>
      </w:r>
      <w:r w:rsidR="00A5225F" w:rsidRPr="00B71F1D">
        <w:rPr>
          <w:sz w:val="20"/>
          <w:szCs w:val="20"/>
        </w:rPr>
        <w:t xml:space="preserve"> her bir</w:t>
      </w:r>
      <w:r w:rsidR="008C64A1" w:rsidRPr="00B71F1D">
        <w:rPr>
          <w:sz w:val="20"/>
          <w:szCs w:val="20"/>
        </w:rPr>
        <w:t xml:space="preserve"> </w:t>
      </w:r>
      <w:r w:rsidR="00DA170B" w:rsidRPr="00B71F1D">
        <w:rPr>
          <w:sz w:val="20"/>
          <w:szCs w:val="20"/>
        </w:rPr>
        <w:t>eşdeğer</w:t>
      </w:r>
      <w:r w:rsidRPr="00B71F1D">
        <w:rPr>
          <w:sz w:val="20"/>
          <w:szCs w:val="20"/>
        </w:rPr>
        <w:t xml:space="preserve"> diploma program</w:t>
      </w:r>
      <w:r w:rsidR="00A5225F" w:rsidRPr="00B71F1D">
        <w:rPr>
          <w:sz w:val="20"/>
          <w:szCs w:val="20"/>
        </w:rPr>
        <w:t xml:space="preserve">ındaki  </w:t>
      </w:r>
      <w:r w:rsidR="00E87BAB" w:rsidRPr="00B71F1D">
        <w:rPr>
          <w:sz w:val="20"/>
          <w:szCs w:val="20"/>
        </w:rPr>
        <w:t xml:space="preserve">en yüksek genel not ortalamasına </w:t>
      </w:r>
      <w:r w:rsidR="008C64A1" w:rsidRPr="00B71F1D">
        <w:rPr>
          <w:sz w:val="20"/>
          <w:szCs w:val="20"/>
        </w:rPr>
        <w:t>sahip olan</w:t>
      </w:r>
      <w:r w:rsidR="00E87BAB" w:rsidRPr="00B71F1D">
        <w:rPr>
          <w:sz w:val="20"/>
          <w:szCs w:val="20"/>
        </w:rPr>
        <w:t xml:space="preserve"> </w:t>
      </w:r>
      <w:r w:rsidR="00A5225F" w:rsidRPr="00B71F1D">
        <w:rPr>
          <w:sz w:val="20"/>
          <w:szCs w:val="20"/>
        </w:rPr>
        <w:t xml:space="preserve">öğrenci esas alınarak </w:t>
      </w:r>
      <w:r w:rsidR="004B4ABE" w:rsidRPr="00B71F1D">
        <w:rPr>
          <w:sz w:val="20"/>
          <w:szCs w:val="20"/>
        </w:rPr>
        <w:t>kontenjan dahilinde</w:t>
      </w:r>
      <w:r w:rsidRPr="00B71F1D">
        <w:rPr>
          <w:sz w:val="20"/>
          <w:szCs w:val="20"/>
        </w:rPr>
        <w:t xml:space="preserve"> </w:t>
      </w:r>
      <w:r w:rsidR="00E87BAB" w:rsidRPr="00B71F1D">
        <w:rPr>
          <w:sz w:val="20"/>
          <w:szCs w:val="20"/>
        </w:rPr>
        <w:t>yapılır.</w:t>
      </w:r>
      <w:r w:rsidRPr="00B71F1D">
        <w:rPr>
          <w:sz w:val="20"/>
          <w:szCs w:val="20"/>
        </w:rPr>
        <w:t xml:space="preserve"> Kontenjanın dolmaması halinde aynı esaslara göre genel not ortalaması dikkate alınarak kurumlar arasında </w:t>
      </w:r>
      <w:r w:rsidR="00836254" w:rsidRPr="00B71F1D">
        <w:rPr>
          <w:sz w:val="20"/>
          <w:szCs w:val="20"/>
        </w:rPr>
        <w:t xml:space="preserve">önceden ilan edilen yedeklerden </w:t>
      </w:r>
      <w:r w:rsidRPr="00B71F1D">
        <w:rPr>
          <w:sz w:val="20"/>
          <w:szCs w:val="20"/>
        </w:rPr>
        <w:t>sıra</w:t>
      </w:r>
      <w:r w:rsidR="00836254" w:rsidRPr="00B71F1D">
        <w:rPr>
          <w:sz w:val="20"/>
          <w:szCs w:val="20"/>
        </w:rPr>
        <w:t xml:space="preserve"> ile alınır.</w:t>
      </w:r>
      <w:r w:rsidRPr="00B71F1D">
        <w:rPr>
          <w:strike/>
          <w:sz w:val="20"/>
          <w:szCs w:val="20"/>
        </w:rPr>
        <w:t xml:space="preserve"> </w:t>
      </w:r>
    </w:p>
    <w:p w:rsidR="00FB25F7" w:rsidRPr="00B71F1D" w:rsidRDefault="00451993" w:rsidP="00E73BC2">
      <w:pPr>
        <w:numPr>
          <w:ilvl w:val="0"/>
          <w:numId w:val="4"/>
        </w:numPr>
        <w:tabs>
          <w:tab w:val="left" w:pos="284"/>
        </w:tabs>
        <w:spacing w:after="0" w:line="240" w:lineRule="auto"/>
        <w:ind w:left="0" w:firstLine="0"/>
        <w:jc w:val="both"/>
        <w:rPr>
          <w:rFonts w:eastAsia="Times New Roman" w:cs="Times New Roman"/>
          <w:sz w:val="20"/>
          <w:szCs w:val="20"/>
        </w:rPr>
      </w:pPr>
      <w:r w:rsidRPr="00B71F1D">
        <w:rPr>
          <w:sz w:val="20"/>
          <w:szCs w:val="20"/>
        </w:rPr>
        <w:t xml:space="preserve">Yükseköğretim kurumlarında ikinci öğretimden sadece ikinci öğretim diploma programlarına yatay geçiş yapılabilir. Ancak, ikinci öğretim diploma programlarından başarı bakımından bulunduğu sınıfın ilk yüzde onuna girerek bir üst sınıfa geçen öğrenciler birinci öğretim diploma programlarına kontenjan </w:t>
      </w:r>
      <w:proofErr w:type="gramStart"/>
      <w:r w:rsidRPr="00B71F1D">
        <w:rPr>
          <w:sz w:val="20"/>
          <w:szCs w:val="20"/>
        </w:rPr>
        <w:t>dahilinde</w:t>
      </w:r>
      <w:proofErr w:type="gramEnd"/>
      <w:r w:rsidRPr="00B71F1D">
        <w:rPr>
          <w:sz w:val="20"/>
          <w:szCs w:val="20"/>
        </w:rPr>
        <w:t xml:space="preserve"> yatay geçiş</w:t>
      </w:r>
      <w:r w:rsidRPr="00B71F1D">
        <w:rPr>
          <w:rFonts w:ascii="Arial" w:eastAsia="Times New Roman" w:hAnsi="Arial" w:cs="Arial"/>
          <w:color w:val="333333"/>
          <w:sz w:val="20"/>
          <w:szCs w:val="20"/>
          <w:lang w:eastAsia="tr-TR"/>
        </w:rPr>
        <w:t xml:space="preserve"> </w:t>
      </w:r>
      <w:r w:rsidRPr="00B71F1D">
        <w:rPr>
          <w:sz w:val="20"/>
          <w:szCs w:val="20"/>
        </w:rPr>
        <w:t>yapabilirler.</w:t>
      </w:r>
      <w:r w:rsidRPr="00B71F1D">
        <w:rPr>
          <w:rFonts w:ascii="Arial" w:eastAsia="Times New Roman" w:hAnsi="Arial" w:cs="Arial"/>
          <w:color w:val="333333"/>
          <w:sz w:val="20"/>
          <w:szCs w:val="20"/>
          <w:lang w:eastAsia="tr-TR"/>
        </w:rPr>
        <w:t xml:space="preserve"> </w:t>
      </w:r>
      <w:r w:rsidRPr="00B71F1D">
        <w:rPr>
          <w:rFonts w:ascii="Arial" w:eastAsia="Times New Roman" w:hAnsi="Arial" w:cs="Arial"/>
          <w:color w:val="333333"/>
          <w:sz w:val="20"/>
          <w:szCs w:val="20"/>
          <w:lang w:eastAsia="tr-TR"/>
        </w:rPr>
        <w:br/>
      </w:r>
      <w:r w:rsidR="0079391C" w:rsidRPr="00B71F1D">
        <w:rPr>
          <w:rFonts w:eastAsia="Times New Roman" w:cs="Times New Roman"/>
          <w:sz w:val="20"/>
          <w:szCs w:val="20"/>
        </w:rPr>
        <w:tab/>
      </w:r>
      <w:r w:rsidR="00FB25F7" w:rsidRPr="00B71F1D">
        <w:rPr>
          <w:rFonts w:eastAsia="Times New Roman" w:cs="Times New Roman"/>
          <w:sz w:val="20"/>
          <w:szCs w:val="20"/>
        </w:rPr>
        <w:t>Normal örgün öğretimden ikinci öğretime yatay geçiş yapılabilir. Bu yatay geçişler</w:t>
      </w:r>
      <w:r w:rsidR="002D546A" w:rsidRPr="00B71F1D">
        <w:rPr>
          <w:rFonts w:eastAsia="Times New Roman" w:cs="Times New Roman"/>
          <w:sz w:val="20"/>
          <w:szCs w:val="20"/>
        </w:rPr>
        <w:t xml:space="preserve"> </w:t>
      </w:r>
      <w:r w:rsidR="00FB25F7" w:rsidRPr="00B71F1D">
        <w:rPr>
          <w:rFonts w:eastAsia="Times New Roman" w:cs="Times New Roman"/>
          <w:sz w:val="20"/>
          <w:szCs w:val="20"/>
        </w:rPr>
        <w:t xml:space="preserve">de örgün öğretimde uygulanan mevzuat hükümlerine tabidir. </w:t>
      </w:r>
      <w:r w:rsidR="00174FB9" w:rsidRPr="00B71F1D">
        <w:rPr>
          <w:rFonts w:eastAsia="Times New Roman" w:cs="Times New Roman"/>
          <w:sz w:val="20"/>
          <w:szCs w:val="20"/>
        </w:rPr>
        <w:t>Ancak, geçiş yapan bu öğrenciler ikinci öğretim için öngörülen ücreti ödemek zorundadırlar.</w:t>
      </w:r>
    </w:p>
    <w:p w:rsidR="00E75D85" w:rsidRPr="00B71F1D" w:rsidRDefault="00E75D85" w:rsidP="00E73BC2">
      <w:pPr>
        <w:pStyle w:val="ListeParagraf"/>
        <w:numPr>
          <w:ilvl w:val="0"/>
          <w:numId w:val="4"/>
        </w:numPr>
        <w:tabs>
          <w:tab w:val="left" w:pos="426"/>
        </w:tabs>
        <w:spacing w:after="0" w:line="240" w:lineRule="auto"/>
        <w:ind w:left="0" w:firstLine="0"/>
        <w:jc w:val="both"/>
        <w:rPr>
          <w:rFonts w:eastAsia="Times New Roman" w:cs="Times New Roman"/>
          <w:sz w:val="20"/>
          <w:szCs w:val="20"/>
        </w:rPr>
      </w:pPr>
      <w:r w:rsidRPr="00B71F1D">
        <w:rPr>
          <w:rFonts w:eastAsia="Times New Roman" w:cs="Times New Roman"/>
          <w:sz w:val="20"/>
          <w:szCs w:val="20"/>
        </w:rPr>
        <w:t xml:space="preserve">Özel Yetenek Sınavı ile öğrenci kabul edilen diploma programlarına yatay geçiş için başvuran öğrencilerden gerekli görülmesi halinde, ilgili komisyonlar tarafından yapılacak </w:t>
      </w:r>
      <w:r w:rsidR="00450F5B" w:rsidRPr="00B71F1D">
        <w:rPr>
          <w:rFonts w:eastAsia="Times New Roman" w:cs="Times New Roman"/>
          <w:sz w:val="20"/>
          <w:szCs w:val="20"/>
        </w:rPr>
        <w:t xml:space="preserve">özel yetenek </w:t>
      </w:r>
      <w:r w:rsidRPr="00B71F1D">
        <w:rPr>
          <w:rFonts w:eastAsia="Times New Roman" w:cs="Times New Roman"/>
          <w:sz w:val="20"/>
          <w:szCs w:val="20"/>
        </w:rPr>
        <w:t>seviye sınavında başarılı olmaları istenir.</w:t>
      </w:r>
    </w:p>
    <w:p w:rsidR="00852648" w:rsidRPr="00B71F1D" w:rsidRDefault="00852648" w:rsidP="00E73BC2">
      <w:pPr>
        <w:pStyle w:val="ListeParagraf"/>
        <w:tabs>
          <w:tab w:val="left" w:pos="426"/>
        </w:tabs>
        <w:spacing w:after="0" w:line="240" w:lineRule="auto"/>
        <w:ind w:left="0"/>
        <w:jc w:val="both"/>
        <w:rPr>
          <w:rFonts w:eastAsia="Times New Roman" w:cs="Times New Roman"/>
          <w:sz w:val="20"/>
          <w:szCs w:val="20"/>
        </w:rPr>
      </w:pPr>
    </w:p>
    <w:p w:rsidR="003E002F" w:rsidRPr="00B71F1D" w:rsidRDefault="003E002F" w:rsidP="00E73BC2">
      <w:pPr>
        <w:pStyle w:val="3-NormalYaz"/>
        <w:rPr>
          <w:rFonts w:asciiTheme="minorHAnsi" w:hAnsiTheme="minorHAnsi"/>
          <w:b/>
          <w:i/>
          <w:sz w:val="20"/>
        </w:rPr>
      </w:pPr>
      <w:r w:rsidRPr="00B71F1D">
        <w:rPr>
          <w:rFonts w:asciiTheme="minorHAnsi" w:hAnsiTheme="minorHAnsi"/>
          <w:b/>
          <w:sz w:val="20"/>
        </w:rPr>
        <w:t>Değerlendirme</w:t>
      </w:r>
    </w:p>
    <w:p w:rsidR="003E002F" w:rsidRPr="00B71F1D" w:rsidRDefault="003E002F" w:rsidP="00E73BC2">
      <w:pPr>
        <w:pStyle w:val="3-NormalYaz"/>
        <w:numPr>
          <w:ilvl w:val="0"/>
          <w:numId w:val="3"/>
        </w:numPr>
        <w:tabs>
          <w:tab w:val="clear" w:pos="566"/>
          <w:tab w:val="left" w:pos="284"/>
        </w:tabs>
        <w:ind w:left="0" w:firstLine="0"/>
        <w:rPr>
          <w:rFonts w:asciiTheme="minorHAnsi" w:hAnsiTheme="minorHAnsi"/>
          <w:b/>
          <w:sz w:val="20"/>
        </w:rPr>
      </w:pPr>
      <w:r w:rsidRPr="00B71F1D">
        <w:rPr>
          <w:rFonts w:asciiTheme="minorHAnsi" w:hAnsiTheme="minorHAnsi"/>
          <w:sz w:val="20"/>
        </w:rPr>
        <w:t>Başvurularla ilgili ön değerlendirmeyi, senatonun belirlemiş olduğu ilkeler çerçevesinde, ilgili yönetim kurulları tarafından eğitim-öğretimden sorumlu Dekan/Müdür Yardımcıları Başkanlığında oluşturulan en az 3 üyeden oluşan komisyonlar yapar. Başvuru sayısına göre birden fazla komisyon oluşturulabilir.</w:t>
      </w:r>
    </w:p>
    <w:p w:rsidR="003E002F" w:rsidRPr="00B71F1D" w:rsidRDefault="003E002F" w:rsidP="00E73BC2">
      <w:pPr>
        <w:numPr>
          <w:ilvl w:val="0"/>
          <w:numId w:val="3"/>
        </w:numPr>
        <w:tabs>
          <w:tab w:val="left" w:pos="284"/>
        </w:tabs>
        <w:spacing w:after="0" w:line="240" w:lineRule="auto"/>
        <w:ind w:left="0" w:firstLine="0"/>
        <w:jc w:val="both"/>
        <w:rPr>
          <w:sz w:val="20"/>
          <w:szCs w:val="20"/>
        </w:rPr>
      </w:pPr>
      <w:r w:rsidRPr="00B71F1D">
        <w:rPr>
          <w:sz w:val="20"/>
          <w:szCs w:val="20"/>
        </w:rPr>
        <w:t xml:space="preserve">Değerlendirmede üniversite senatosunun belirlemiş olduğu koşullar dikkate alınır.  </w:t>
      </w:r>
    </w:p>
    <w:p w:rsidR="003E002F" w:rsidRPr="00B71F1D" w:rsidRDefault="003E002F" w:rsidP="00E73BC2">
      <w:pPr>
        <w:pStyle w:val="3-NormalYaz"/>
        <w:ind w:left="900"/>
        <w:rPr>
          <w:rFonts w:asciiTheme="minorHAnsi" w:hAnsiTheme="minorHAnsi"/>
          <w:b/>
          <w:sz w:val="20"/>
        </w:rPr>
      </w:pPr>
    </w:p>
    <w:p w:rsidR="003E002F" w:rsidRPr="00B71F1D" w:rsidRDefault="003E002F" w:rsidP="00E73BC2">
      <w:pPr>
        <w:pStyle w:val="3-NormalYaz"/>
        <w:rPr>
          <w:rFonts w:asciiTheme="minorHAnsi" w:hAnsiTheme="minorHAnsi"/>
          <w:b/>
          <w:sz w:val="20"/>
        </w:rPr>
      </w:pPr>
      <w:r w:rsidRPr="00B71F1D">
        <w:rPr>
          <w:rFonts w:asciiTheme="minorHAnsi" w:hAnsiTheme="minorHAnsi"/>
          <w:b/>
          <w:sz w:val="20"/>
        </w:rPr>
        <w:t>Yerleştirme</w:t>
      </w:r>
    </w:p>
    <w:p w:rsidR="003E002F" w:rsidRPr="00B71F1D" w:rsidRDefault="003E002F" w:rsidP="00F70487">
      <w:pPr>
        <w:pStyle w:val="3-NormalYaz"/>
        <w:numPr>
          <w:ilvl w:val="0"/>
          <w:numId w:val="13"/>
        </w:numPr>
        <w:tabs>
          <w:tab w:val="clear" w:pos="566"/>
          <w:tab w:val="left" w:pos="284"/>
        </w:tabs>
        <w:ind w:left="0" w:hanging="11"/>
        <w:rPr>
          <w:rFonts w:asciiTheme="minorHAnsi" w:hAnsiTheme="minorHAnsi"/>
          <w:sz w:val="20"/>
        </w:rPr>
      </w:pPr>
      <w:r w:rsidRPr="00B71F1D">
        <w:rPr>
          <w:rFonts w:asciiTheme="minorHAnsi" w:hAnsiTheme="minorHAnsi"/>
          <w:sz w:val="20"/>
        </w:rPr>
        <w:t>Yerleştir</w:t>
      </w:r>
      <w:r w:rsidR="0080228D" w:rsidRPr="00B71F1D">
        <w:rPr>
          <w:rFonts w:asciiTheme="minorHAnsi" w:hAnsiTheme="minorHAnsi"/>
          <w:sz w:val="20"/>
        </w:rPr>
        <w:t xml:space="preserve">me işlemleri ilgili birimlerin </w:t>
      </w:r>
      <w:r w:rsidRPr="00B71F1D">
        <w:rPr>
          <w:rFonts w:asciiTheme="minorHAnsi" w:hAnsiTheme="minorHAnsi"/>
          <w:sz w:val="20"/>
        </w:rPr>
        <w:t>yönetim kurulu kararıyla yapılır.</w:t>
      </w:r>
    </w:p>
    <w:p w:rsidR="003E002F" w:rsidRPr="00B71F1D" w:rsidRDefault="003E002F" w:rsidP="00F70487">
      <w:pPr>
        <w:pStyle w:val="3-NormalYaz"/>
        <w:numPr>
          <w:ilvl w:val="0"/>
          <w:numId w:val="13"/>
        </w:numPr>
        <w:tabs>
          <w:tab w:val="clear" w:pos="566"/>
          <w:tab w:val="left" w:pos="284"/>
        </w:tabs>
        <w:ind w:left="0" w:hanging="11"/>
        <w:rPr>
          <w:rFonts w:asciiTheme="minorHAnsi" w:hAnsiTheme="minorHAnsi"/>
          <w:sz w:val="20"/>
        </w:rPr>
      </w:pPr>
      <w:r w:rsidRPr="00B71F1D">
        <w:rPr>
          <w:rFonts w:asciiTheme="minorHAnsi" w:hAnsiTheme="minorHAnsi"/>
          <w:sz w:val="20"/>
        </w:rPr>
        <w:t>Yükseköğretim Kurulu internet s</w:t>
      </w:r>
      <w:r w:rsidR="0080228D" w:rsidRPr="00B71F1D">
        <w:rPr>
          <w:rFonts w:asciiTheme="minorHAnsi" w:hAnsiTheme="minorHAnsi"/>
          <w:sz w:val="20"/>
        </w:rPr>
        <w:t xml:space="preserve">ayfasında ilan edilen kontenjan </w:t>
      </w:r>
      <w:proofErr w:type="gramStart"/>
      <w:r w:rsidRPr="00B71F1D">
        <w:rPr>
          <w:rFonts w:asciiTheme="minorHAnsi" w:hAnsiTheme="minorHAnsi"/>
          <w:sz w:val="20"/>
        </w:rPr>
        <w:t>dahilinde</w:t>
      </w:r>
      <w:proofErr w:type="gramEnd"/>
      <w:r w:rsidRPr="00B71F1D">
        <w:rPr>
          <w:rFonts w:asciiTheme="minorHAnsi" w:hAnsiTheme="minorHAnsi"/>
          <w:sz w:val="20"/>
        </w:rPr>
        <w:t xml:space="preserve"> Yatay geçiş hakkı kazananlar </w:t>
      </w:r>
      <w:hyperlink r:id="rId6" w:history="1">
        <w:r w:rsidRPr="00B71F1D">
          <w:rPr>
            <w:rStyle w:val="Kpr"/>
            <w:rFonts w:asciiTheme="minorHAnsi" w:hAnsiTheme="minorHAnsi"/>
            <w:color w:val="auto"/>
            <w:sz w:val="20"/>
          </w:rPr>
          <w:t>www.uludag.edu.tr</w:t>
        </w:r>
      </w:hyperlink>
      <w:r w:rsidRPr="00B71F1D">
        <w:rPr>
          <w:rFonts w:asciiTheme="minorHAnsi" w:hAnsiTheme="minorHAnsi"/>
          <w:sz w:val="20"/>
        </w:rPr>
        <w:t xml:space="preserve"> internet adresinde asıl ve yedek liste olarak ilan edilir.</w:t>
      </w:r>
    </w:p>
    <w:p w:rsidR="00F70487" w:rsidRPr="00B71F1D" w:rsidRDefault="003E002F" w:rsidP="00F70487">
      <w:pPr>
        <w:pStyle w:val="Balk7"/>
        <w:numPr>
          <w:ilvl w:val="0"/>
          <w:numId w:val="13"/>
        </w:numPr>
        <w:tabs>
          <w:tab w:val="left" w:pos="284"/>
        </w:tabs>
        <w:ind w:left="0" w:hanging="11"/>
        <w:jc w:val="both"/>
        <w:rPr>
          <w:rStyle w:val="style101"/>
          <w:rFonts w:ascii="Times New Roman" w:hAnsi="Times New Roman"/>
          <w:sz w:val="20"/>
          <w:szCs w:val="20"/>
        </w:rPr>
      </w:pPr>
      <w:r w:rsidRPr="00B71F1D">
        <w:rPr>
          <w:rFonts w:asciiTheme="minorHAnsi" w:hAnsiTheme="minorHAnsi"/>
          <w:b w:val="0"/>
          <w:sz w:val="20"/>
          <w:szCs w:val="20"/>
        </w:rPr>
        <w:t>Asıl adaylara başvuru yapmaları için haklarındaki karar yazılı olarak tebliğ edilir.</w:t>
      </w:r>
      <w:r w:rsidRPr="00B71F1D">
        <w:rPr>
          <w:rFonts w:asciiTheme="minorHAnsi" w:hAnsiTheme="minorHAnsi"/>
          <w:sz w:val="20"/>
          <w:szCs w:val="20"/>
        </w:rPr>
        <w:t xml:space="preserve"> </w:t>
      </w:r>
      <w:r w:rsidRPr="00B71F1D">
        <w:rPr>
          <w:rStyle w:val="style101"/>
          <w:rFonts w:asciiTheme="minorHAnsi" w:hAnsiTheme="minorHAnsi"/>
          <w:b w:val="0"/>
          <w:sz w:val="20"/>
          <w:szCs w:val="20"/>
        </w:rPr>
        <w:t>Ayrıca yatay geçiş yapmak istediği yükseköğretim programında ilanen duyurulur.</w:t>
      </w:r>
    </w:p>
    <w:p w:rsidR="00F70487" w:rsidRPr="00B71F1D" w:rsidRDefault="003E002F" w:rsidP="00F70487">
      <w:pPr>
        <w:pStyle w:val="Balk7"/>
        <w:numPr>
          <w:ilvl w:val="0"/>
          <w:numId w:val="13"/>
        </w:numPr>
        <w:tabs>
          <w:tab w:val="left" w:pos="284"/>
        </w:tabs>
        <w:ind w:left="0" w:hanging="11"/>
        <w:jc w:val="both"/>
        <w:rPr>
          <w:b w:val="0"/>
          <w:sz w:val="20"/>
          <w:szCs w:val="20"/>
        </w:rPr>
      </w:pPr>
      <w:r w:rsidRPr="00B71F1D">
        <w:rPr>
          <w:rFonts w:asciiTheme="minorHAnsi" w:hAnsiTheme="minorHAnsi"/>
          <w:b w:val="0"/>
          <w:sz w:val="20"/>
          <w:szCs w:val="20"/>
        </w:rPr>
        <w:t xml:space="preserve">Asıl adayların belirlenen süre içinde kayıt için başvurmamaları halinde </w:t>
      </w:r>
      <w:hyperlink r:id="rId7" w:history="1">
        <w:r w:rsidRPr="00B71F1D">
          <w:rPr>
            <w:rStyle w:val="Kpr"/>
            <w:rFonts w:asciiTheme="minorHAnsi" w:hAnsiTheme="minorHAnsi"/>
            <w:b w:val="0"/>
            <w:color w:val="auto"/>
            <w:sz w:val="20"/>
            <w:szCs w:val="20"/>
          </w:rPr>
          <w:t>www.uludag.edu.tr</w:t>
        </w:r>
      </w:hyperlink>
      <w:r w:rsidRPr="00B71F1D">
        <w:rPr>
          <w:rFonts w:asciiTheme="minorHAnsi" w:hAnsiTheme="minorHAnsi"/>
          <w:b w:val="0"/>
          <w:sz w:val="20"/>
          <w:szCs w:val="20"/>
        </w:rPr>
        <w:t xml:space="preserve"> internet sayfasında </w:t>
      </w:r>
      <w:proofErr w:type="gramStart"/>
      <w:r w:rsidRPr="00B71F1D">
        <w:rPr>
          <w:rFonts w:asciiTheme="minorHAnsi" w:hAnsiTheme="minorHAnsi"/>
          <w:b w:val="0"/>
          <w:sz w:val="20"/>
          <w:szCs w:val="20"/>
        </w:rPr>
        <w:t>ve  yatay</w:t>
      </w:r>
      <w:proofErr w:type="gramEnd"/>
      <w:r w:rsidRPr="00B71F1D">
        <w:rPr>
          <w:rFonts w:asciiTheme="minorHAnsi" w:hAnsiTheme="minorHAnsi"/>
          <w:b w:val="0"/>
          <w:sz w:val="20"/>
          <w:szCs w:val="20"/>
        </w:rPr>
        <w:t xml:space="preserve"> geçiş başvurusu yapılan yükseköğretim programında  ilandaki sıraya göre yedekler duyuru yoluyla çağırılır.</w:t>
      </w:r>
      <w:r w:rsidR="00F70487" w:rsidRPr="00B71F1D">
        <w:rPr>
          <w:b w:val="0"/>
          <w:sz w:val="20"/>
          <w:szCs w:val="20"/>
        </w:rPr>
        <w:t xml:space="preserve"> </w:t>
      </w:r>
    </w:p>
    <w:p w:rsidR="00D9639C" w:rsidRPr="00B71F1D" w:rsidRDefault="00D9639C" w:rsidP="00D9639C">
      <w:pPr>
        <w:pStyle w:val="ListeParagraf"/>
        <w:numPr>
          <w:ilvl w:val="0"/>
          <w:numId w:val="13"/>
        </w:numPr>
        <w:tabs>
          <w:tab w:val="left" w:pos="284"/>
        </w:tabs>
        <w:spacing w:after="0" w:line="240" w:lineRule="auto"/>
        <w:ind w:left="0" w:hanging="11"/>
        <w:rPr>
          <w:b/>
          <w:sz w:val="20"/>
          <w:szCs w:val="20"/>
        </w:rPr>
      </w:pPr>
      <w:r w:rsidRPr="00B71F1D">
        <w:rPr>
          <w:sz w:val="20"/>
          <w:szCs w:val="20"/>
        </w:rPr>
        <w:t>Öğrencinin intibak/muafiyet işlemleri ilgili birimin Yönetim Kurullarınca yapılır.</w:t>
      </w:r>
    </w:p>
    <w:p w:rsidR="00F70487" w:rsidRPr="00B71F1D" w:rsidRDefault="00F70487" w:rsidP="00F70487">
      <w:pPr>
        <w:pStyle w:val="ListeParagraf"/>
        <w:numPr>
          <w:ilvl w:val="0"/>
          <w:numId w:val="13"/>
        </w:numPr>
        <w:tabs>
          <w:tab w:val="left" w:pos="284"/>
        </w:tabs>
        <w:spacing w:after="0" w:line="240" w:lineRule="auto"/>
        <w:ind w:left="0" w:hanging="11"/>
        <w:jc w:val="both"/>
        <w:rPr>
          <w:sz w:val="20"/>
          <w:szCs w:val="20"/>
        </w:rPr>
      </w:pPr>
      <w:r w:rsidRPr="00B71F1D">
        <w:rPr>
          <w:sz w:val="20"/>
          <w:szCs w:val="20"/>
        </w:rPr>
        <w:t>Kaydı yapılan öğrencilerin TC Nüfus Cüzdanı esas alınarak sicil bilgileri, geliş şekli, giriş puanı, kayıt tarihi vb. bilgileri Öğrenci Otomasyon Sistemine kayıt yenileme tarihinin ilk haftası içerisinde girilerek yazılı olarak da Öğrenci İşleri Daire Başkanlığına bildirilir. Söz konusu bilgiler Öğrenci İşleri Daire Başkanlığı tarafından Yükseköğretim Öğrenci Veri Tabanı’na (YÖKSİS) yüklenir.</w:t>
      </w:r>
    </w:p>
    <w:p w:rsidR="00652F06" w:rsidRPr="00B71F1D" w:rsidRDefault="00652F06" w:rsidP="00E73BC2">
      <w:pPr>
        <w:pStyle w:val="3-NormalYaz"/>
        <w:rPr>
          <w:rFonts w:asciiTheme="minorHAnsi" w:hAnsiTheme="minorHAnsi"/>
          <w:b/>
          <w:sz w:val="20"/>
        </w:rPr>
      </w:pPr>
    </w:p>
    <w:p w:rsidR="003E002F" w:rsidRPr="00B71F1D" w:rsidRDefault="003E002F" w:rsidP="00E73BC2">
      <w:pPr>
        <w:pStyle w:val="3-NormalYaz"/>
        <w:rPr>
          <w:rFonts w:asciiTheme="minorHAnsi" w:hAnsiTheme="minorHAnsi"/>
          <w:sz w:val="20"/>
        </w:rPr>
      </w:pPr>
      <w:r w:rsidRPr="00B71F1D">
        <w:rPr>
          <w:rFonts w:asciiTheme="minorHAnsi" w:hAnsiTheme="minorHAnsi"/>
          <w:b/>
          <w:sz w:val="20"/>
        </w:rPr>
        <w:t>Türk Silahlı Kuvvetleri İle Polis Akademilerinden Geçiş</w:t>
      </w:r>
      <w:r w:rsidR="006A31CB" w:rsidRPr="00B71F1D">
        <w:rPr>
          <w:rFonts w:asciiTheme="minorHAnsi" w:hAnsiTheme="minorHAnsi"/>
          <w:b/>
          <w:sz w:val="20"/>
        </w:rPr>
        <w:t xml:space="preserve"> </w:t>
      </w:r>
      <w:r w:rsidRPr="00B71F1D">
        <w:rPr>
          <w:rFonts w:asciiTheme="minorHAnsi" w:hAnsiTheme="minorHAnsi"/>
          <w:sz w:val="20"/>
        </w:rPr>
        <w:t>Bu başvurular ilgili yönetmelik hükümlerine göre değerlendirilerek, yerleştirme işlemi yapılır.</w:t>
      </w:r>
    </w:p>
    <w:p w:rsidR="00130E1A" w:rsidRPr="00B71F1D" w:rsidRDefault="00130E1A" w:rsidP="00130E1A">
      <w:pPr>
        <w:tabs>
          <w:tab w:val="left" w:pos="284"/>
        </w:tabs>
        <w:spacing w:after="0" w:line="240" w:lineRule="auto"/>
        <w:jc w:val="both"/>
        <w:rPr>
          <w:rFonts w:eastAsia="Times New Roman" w:cs="Times New Roman"/>
          <w:sz w:val="20"/>
          <w:szCs w:val="20"/>
        </w:rPr>
      </w:pPr>
      <w:r w:rsidRPr="00B71F1D">
        <w:rPr>
          <w:rFonts w:eastAsia="Times New Roman" w:cs="Times New Roman"/>
          <w:sz w:val="20"/>
          <w:szCs w:val="20"/>
        </w:rPr>
        <w:t xml:space="preserve">Başvuru – Değerlendirme ve Yerleştirme İşlemleri her yıl Üniversite Senatosu tarafından belirlenen ve </w:t>
      </w:r>
      <w:hyperlink r:id="rId8" w:history="1">
        <w:r w:rsidRPr="00B71F1D">
          <w:rPr>
            <w:rStyle w:val="Kpr"/>
            <w:rFonts w:eastAsia="Times New Roman" w:cs="Times New Roman"/>
            <w:color w:val="auto"/>
            <w:sz w:val="20"/>
            <w:szCs w:val="20"/>
          </w:rPr>
          <w:t>www.uludag.edu.tr</w:t>
        </w:r>
      </w:hyperlink>
      <w:r w:rsidRPr="00B71F1D">
        <w:rPr>
          <w:rFonts w:eastAsia="Times New Roman" w:cs="Times New Roman"/>
          <w:sz w:val="20"/>
          <w:szCs w:val="20"/>
        </w:rPr>
        <w:t xml:space="preserve"> ilan edilen tarihlerde yapılır.</w:t>
      </w:r>
    </w:p>
    <w:sectPr w:rsidR="00130E1A" w:rsidRPr="00B71F1D" w:rsidSect="00447D05">
      <w:pgSz w:w="11906" w:h="16838"/>
      <w:pgMar w:top="907" w:right="1134" w:bottom="102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311CF"/>
    <w:multiLevelType w:val="hybridMultilevel"/>
    <w:tmpl w:val="EF402590"/>
    <w:lvl w:ilvl="0" w:tplc="90FA59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F490D3D"/>
    <w:multiLevelType w:val="hybridMultilevel"/>
    <w:tmpl w:val="50229568"/>
    <w:lvl w:ilvl="0" w:tplc="5666F3D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686407C"/>
    <w:multiLevelType w:val="hybridMultilevel"/>
    <w:tmpl w:val="61045510"/>
    <w:lvl w:ilvl="0" w:tplc="6980BA30">
      <w:start w:val="3"/>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A0F5535"/>
    <w:multiLevelType w:val="hybridMultilevel"/>
    <w:tmpl w:val="1A2C4E9E"/>
    <w:lvl w:ilvl="0" w:tplc="5666F3D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1591688"/>
    <w:multiLevelType w:val="hybridMultilevel"/>
    <w:tmpl w:val="33CC5F5E"/>
    <w:lvl w:ilvl="0" w:tplc="423EB102">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576693D"/>
    <w:multiLevelType w:val="hybridMultilevel"/>
    <w:tmpl w:val="43CA0AE2"/>
    <w:lvl w:ilvl="0" w:tplc="4A343AB8">
      <w:start w:val="1"/>
      <w:numFmt w:val="decimal"/>
      <w:lvlText w:val="%1-"/>
      <w:lvlJc w:val="left"/>
      <w:pPr>
        <w:ind w:left="720" w:hanging="360"/>
      </w:pPr>
      <w:rPr>
        <w:rFonts w:hint="default"/>
        <w:b/>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C777C91"/>
    <w:multiLevelType w:val="hybridMultilevel"/>
    <w:tmpl w:val="0DA49C22"/>
    <w:lvl w:ilvl="0" w:tplc="51323D8E">
      <w:start w:val="1"/>
      <w:numFmt w:val="decimal"/>
      <w:lvlText w:val="%1."/>
      <w:lvlJc w:val="left"/>
      <w:pPr>
        <w:ind w:left="709" w:hanging="360"/>
      </w:pPr>
      <w:rPr>
        <w:b/>
      </w:rPr>
    </w:lvl>
    <w:lvl w:ilvl="1" w:tplc="041F0019" w:tentative="1">
      <w:start w:val="1"/>
      <w:numFmt w:val="lowerLetter"/>
      <w:lvlText w:val="%2."/>
      <w:lvlJc w:val="left"/>
      <w:pPr>
        <w:ind w:left="1429" w:hanging="360"/>
      </w:pPr>
    </w:lvl>
    <w:lvl w:ilvl="2" w:tplc="041F001B" w:tentative="1">
      <w:start w:val="1"/>
      <w:numFmt w:val="lowerRoman"/>
      <w:lvlText w:val="%3."/>
      <w:lvlJc w:val="right"/>
      <w:pPr>
        <w:ind w:left="2149" w:hanging="180"/>
      </w:pPr>
    </w:lvl>
    <w:lvl w:ilvl="3" w:tplc="041F000F" w:tentative="1">
      <w:start w:val="1"/>
      <w:numFmt w:val="decimal"/>
      <w:lvlText w:val="%4."/>
      <w:lvlJc w:val="left"/>
      <w:pPr>
        <w:ind w:left="2869" w:hanging="360"/>
      </w:pPr>
    </w:lvl>
    <w:lvl w:ilvl="4" w:tplc="041F0019" w:tentative="1">
      <w:start w:val="1"/>
      <w:numFmt w:val="lowerLetter"/>
      <w:lvlText w:val="%5."/>
      <w:lvlJc w:val="left"/>
      <w:pPr>
        <w:ind w:left="3589" w:hanging="360"/>
      </w:pPr>
    </w:lvl>
    <w:lvl w:ilvl="5" w:tplc="041F001B" w:tentative="1">
      <w:start w:val="1"/>
      <w:numFmt w:val="lowerRoman"/>
      <w:lvlText w:val="%6."/>
      <w:lvlJc w:val="right"/>
      <w:pPr>
        <w:ind w:left="4309" w:hanging="180"/>
      </w:pPr>
    </w:lvl>
    <w:lvl w:ilvl="6" w:tplc="041F000F" w:tentative="1">
      <w:start w:val="1"/>
      <w:numFmt w:val="decimal"/>
      <w:lvlText w:val="%7."/>
      <w:lvlJc w:val="left"/>
      <w:pPr>
        <w:ind w:left="5029" w:hanging="360"/>
      </w:pPr>
    </w:lvl>
    <w:lvl w:ilvl="7" w:tplc="041F0019" w:tentative="1">
      <w:start w:val="1"/>
      <w:numFmt w:val="lowerLetter"/>
      <w:lvlText w:val="%8."/>
      <w:lvlJc w:val="left"/>
      <w:pPr>
        <w:ind w:left="5749" w:hanging="360"/>
      </w:pPr>
    </w:lvl>
    <w:lvl w:ilvl="8" w:tplc="041F001B" w:tentative="1">
      <w:start w:val="1"/>
      <w:numFmt w:val="lowerRoman"/>
      <w:lvlText w:val="%9."/>
      <w:lvlJc w:val="right"/>
      <w:pPr>
        <w:ind w:left="6469" w:hanging="180"/>
      </w:pPr>
    </w:lvl>
  </w:abstractNum>
  <w:abstractNum w:abstractNumId="7">
    <w:nsid w:val="376E37A1"/>
    <w:multiLevelType w:val="hybridMultilevel"/>
    <w:tmpl w:val="67826DCC"/>
    <w:lvl w:ilvl="0" w:tplc="041F000F">
      <w:start w:val="1"/>
      <w:numFmt w:val="decimal"/>
      <w:lvlText w:val="%1."/>
      <w:lvlJc w:val="left"/>
      <w:pPr>
        <w:ind w:left="720" w:hanging="360"/>
      </w:pPr>
      <w:rPr>
        <w:rFonts w:hint="default"/>
        <w:b/>
      </w:rPr>
    </w:lvl>
    <w:lvl w:ilvl="1" w:tplc="041F001B">
      <w:start w:val="1"/>
      <w:numFmt w:val="lowerRoman"/>
      <w:lvlText w:val="%2."/>
      <w:lvlJc w:val="righ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776696A"/>
    <w:multiLevelType w:val="hybridMultilevel"/>
    <w:tmpl w:val="7AEAF94C"/>
    <w:lvl w:ilvl="0" w:tplc="6D02450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9F526F0"/>
    <w:multiLevelType w:val="hybridMultilevel"/>
    <w:tmpl w:val="6C321502"/>
    <w:lvl w:ilvl="0" w:tplc="4A343AB8">
      <w:start w:val="1"/>
      <w:numFmt w:val="decimal"/>
      <w:lvlText w:val="%1-"/>
      <w:lvlJc w:val="left"/>
      <w:pPr>
        <w:ind w:left="720" w:hanging="360"/>
      </w:pPr>
      <w:rPr>
        <w:rFonts w:hint="default"/>
        <w:b/>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0634495"/>
    <w:multiLevelType w:val="hybridMultilevel"/>
    <w:tmpl w:val="7E284046"/>
    <w:lvl w:ilvl="0" w:tplc="086A39D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1424260"/>
    <w:multiLevelType w:val="hybridMultilevel"/>
    <w:tmpl w:val="6C321502"/>
    <w:lvl w:ilvl="0" w:tplc="4A343AB8">
      <w:start w:val="1"/>
      <w:numFmt w:val="decimal"/>
      <w:lvlText w:val="%1-"/>
      <w:lvlJc w:val="left"/>
      <w:pPr>
        <w:ind w:left="720" w:hanging="360"/>
      </w:pPr>
      <w:rPr>
        <w:rFonts w:hint="default"/>
        <w:b/>
        <w:strike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0422D46"/>
    <w:multiLevelType w:val="hybridMultilevel"/>
    <w:tmpl w:val="04F0CEAE"/>
    <w:lvl w:ilvl="0" w:tplc="4A343AB8">
      <w:start w:val="1"/>
      <w:numFmt w:val="decimal"/>
      <w:lvlText w:val="%1-"/>
      <w:lvlJc w:val="left"/>
      <w:pPr>
        <w:ind w:left="720" w:hanging="360"/>
      </w:pPr>
      <w:rPr>
        <w:rFonts w:hint="default"/>
        <w:b/>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8C66BE7"/>
    <w:multiLevelType w:val="hybridMultilevel"/>
    <w:tmpl w:val="B18AAD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8C672A2"/>
    <w:multiLevelType w:val="hybridMultilevel"/>
    <w:tmpl w:val="33326186"/>
    <w:lvl w:ilvl="0" w:tplc="4A343AB8">
      <w:start w:val="1"/>
      <w:numFmt w:val="decimal"/>
      <w:lvlText w:val="%1-"/>
      <w:lvlJc w:val="left"/>
      <w:pPr>
        <w:ind w:left="720" w:hanging="360"/>
      </w:pPr>
      <w:rPr>
        <w:rFonts w:hint="default"/>
        <w:b/>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58EC131A"/>
    <w:multiLevelType w:val="hybridMultilevel"/>
    <w:tmpl w:val="A672EDCA"/>
    <w:lvl w:ilvl="0" w:tplc="DD7443D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7604537B"/>
    <w:multiLevelType w:val="hybridMultilevel"/>
    <w:tmpl w:val="E9529A8C"/>
    <w:lvl w:ilvl="0" w:tplc="76309BEE">
      <w:start w:val="1"/>
      <w:numFmt w:val="decimal"/>
      <w:lvlText w:val="%1."/>
      <w:lvlJc w:val="left"/>
      <w:pPr>
        <w:ind w:left="720" w:hanging="360"/>
      </w:pPr>
      <w:rPr>
        <w:b/>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4"/>
  </w:num>
  <w:num w:numId="3">
    <w:abstractNumId w:val="16"/>
  </w:num>
  <w:num w:numId="4">
    <w:abstractNumId w:val="11"/>
  </w:num>
  <w:num w:numId="5">
    <w:abstractNumId w:val="9"/>
  </w:num>
  <w:num w:numId="6">
    <w:abstractNumId w:val="7"/>
  </w:num>
  <w:num w:numId="7">
    <w:abstractNumId w:val="10"/>
  </w:num>
  <w:num w:numId="8">
    <w:abstractNumId w:val="6"/>
  </w:num>
  <w:num w:numId="9">
    <w:abstractNumId w:val="1"/>
  </w:num>
  <w:num w:numId="10">
    <w:abstractNumId w:val="8"/>
  </w:num>
  <w:num w:numId="11">
    <w:abstractNumId w:val="15"/>
  </w:num>
  <w:num w:numId="12">
    <w:abstractNumId w:val="13"/>
  </w:num>
  <w:num w:numId="13">
    <w:abstractNumId w:val="3"/>
  </w:num>
  <w:num w:numId="14">
    <w:abstractNumId w:val="4"/>
  </w:num>
  <w:num w:numId="15">
    <w:abstractNumId w:val="2"/>
  </w:num>
  <w:num w:numId="16">
    <w:abstractNumId w:val="12"/>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displayBackgroundShape/>
  <w:proofState w:spelling="clean" w:grammar="clean"/>
  <w:defaultTabStop w:val="709"/>
  <w:hyphenationZone w:val="425"/>
  <w:characterSpacingControl w:val="doNotCompress"/>
  <w:compat/>
  <w:rsids>
    <w:rsidRoot w:val="0056219B"/>
    <w:rsid w:val="0000198D"/>
    <w:rsid w:val="00016878"/>
    <w:rsid w:val="00024FB9"/>
    <w:rsid w:val="00042739"/>
    <w:rsid w:val="00044A81"/>
    <w:rsid w:val="000557ED"/>
    <w:rsid w:val="000859A1"/>
    <w:rsid w:val="0009767F"/>
    <w:rsid w:val="000A22A1"/>
    <w:rsid w:val="000A4539"/>
    <w:rsid w:val="000A4AEF"/>
    <w:rsid w:val="000A78EE"/>
    <w:rsid w:val="000B3913"/>
    <w:rsid w:val="000D75DE"/>
    <w:rsid w:val="000D7A99"/>
    <w:rsid w:val="000E3EC7"/>
    <w:rsid w:val="00130E1A"/>
    <w:rsid w:val="00163A17"/>
    <w:rsid w:val="00174FB9"/>
    <w:rsid w:val="00193CF9"/>
    <w:rsid w:val="001A44CA"/>
    <w:rsid w:val="001A5376"/>
    <w:rsid w:val="001B350D"/>
    <w:rsid w:val="001B5809"/>
    <w:rsid w:val="001C61D5"/>
    <w:rsid w:val="001D0464"/>
    <w:rsid w:val="001E7410"/>
    <w:rsid w:val="001F7F84"/>
    <w:rsid w:val="0021636E"/>
    <w:rsid w:val="00217E82"/>
    <w:rsid w:val="00230C32"/>
    <w:rsid w:val="00234169"/>
    <w:rsid w:val="00243C62"/>
    <w:rsid w:val="00253E0E"/>
    <w:rsid w:val="00263C47"/>
    <w:rsid w:val="00274BA1"/>
    <w:rsid w:val="00283288"/>
    <w:rsid w:val="00293229"/>
    <w:rsid w:val="00295BA6"/>
    <w:rsid w:val="002A1F34"/>
    <w:rsid w:val="002D546A"/>
    <w:rsid w:val="002D7C6F"/>
    <w:rsid w:val="0031534A"/>
    <w:rsid w:val="00320AAA"/>
    <w:rsid w:val="003271CF"/>
    <w:rsid w:val="003A0C41"/>
    <w:rsid w:val="003B09DA"/>
    <w:rsid w:val="003B425B"/>
    <w:rsid w:val="003E002F"/>
    <w:rsid w:val="003F6C13"/>
    <w:rsid w:val="00421472"/>
    <w:rsid w:val="004246E9"/>
    <w:rsid w:val="00430D3A"/>
    <w:rsid w:val="00435443"/>
    <w:rsid w:val="00447D05"/>
    <w:rsid w:val="00450F5B"/>
    <w:rsid w:val="00451993"/>
    <w:rsid w:val="00456ED3"/>
    <w:rsid w:val="004B4ABE"/>
    <w:rsid w:val="004D4D9D"/>
    <w:rsid w:val="004F79A1"/>
    <w:rsid w:val="004F7A3F"/>
    <w:rsid w:val="00501E59"/>
    <w:rsid w:val="00522E00"/>
    <w:rsid w:val="0056088E"/>
    <w:rsid w:val="0056219B"/>
    <w:rsid w:val="005713DC"/>
    <w:rsid w:val="0057629D"/>
    <w:rsid w:val="00596556"/>
    <w:rsid w:val="005C02D5"/>
    <w:rsid w:val="005D12A1"/>
    <w:rsid w:val="00602644"/>
    <w:rsid w:val="00652F06"/>
    <w:rsid w:val="00656C77"/>
    <w:rsid w:val="006A31CB"/>
    <w:rsid w:val="006A487E"/>
    <w:rsid w:val="006A5776"/>
    <w:rsid w:val="006B5A7E"/>
    <w:rsid w:val="006C3AB1"/>
    <w:rsid w:val="006D7FEA"/>
    <w:rsid w:val="006E1452"/>
    <w:rsid w:val="006E1693"/>
    <w:rsid w:val="006E2186"/>
    <w:rsid w:val="006F2B00"/>
    <w:rsid w:val="0070029A"/>
    <w:rsid w:val="007073DA"/>
    <w:rsid w:val="007126B2"/>
    <w:rsid w:val="00736170"/>
    <w:rsid w:val="007664C7"/>
    <w:rsid w:val="00782B7B"/>
    <w:rsid w:val="00792970"/>
    <w:rsid w:val="0079391C"/>
    <w:rsid w:val="00797213"/>
    <w:rsid w:val="007B3FBC"/>
    <w:rsid w:val="007C3D24"/>
    <w:rsid w:val="007E57EA"/>
    <w:rsid w:val="0080228D"/>
    <w:rsid w:val="00806FB1"/>
    <w:rsid w:val="00826FEC"/>
    <w:rsid w:val="00836254"/>
    <w:rsid w:val="00852648"/>
    <w:rsid w:val="008801B0"/>
    <w:rsid w:val="00883BDB"/>
    <w:rsid w:val="008C64A1"/>
    <w:rsid w:val="008D7328"/>
    <w:rsid w:val="008E21AE"/>
    <w:rsid w:val="00902A26"/>
    <w:rsid w:val="00906648"/>
    <w:rsid w:val="00910297"/>
    <w:rsid w:val="00941453"/>
    <w:rsid w:val="0096745E"/>
    <w:rsid w:val="009711C4"/>
    <w:rsid w:val="00974036"/>
    <w:rsid w:val="00980593"/>
    <w:rsid w:val="0098418F"/>
    <w:rsid w:val="009A648F"/>
    <w:rsid w:val="009B7B19"/>
    <w:rsid w:val="009C1EE1"/>
    <w:rsid w:val="009D4D92"/>
    <w:rsid w:val="009D77D4"/>
    <w:rsid w:val="009E2D12"/>
    <w:rsid w:val="009F46E6"/>
    <w:rsid w:val="009F5DD3"/>
    <w:rsid w:val="00A167CE"/>
    <w:rsid w:val="00A33ACE"/>
    <w:rsid w:val="00A367DA"/>
    <w:rsid w:val="00A422E4"/>
    <w:rsid w:val="00A5225F"/>
    <w:rsid w:val="00A6787A"/>
    <w:rsid w:val="00A72FDE"/>
    <w:rsid w:val="00A8283F"/>
    <w:rsid w:val="00AA1597"/>
    <w:rsid w:val="00AB73FC"/>
    <w:rsid w:val="00AD5166"/>
    <w:rsid w:val="00AE57F3"/>
    <w:rsid w:val="00B07958"/>
    <w:rsid w:val="00B1261F"/>
    <w:rsid w:val="00B427A4"/>
    <w:rsid w:val="00B71F1D"/>
    <w:rsid w:val="00B73F58"/>
    <w:rsid w:val="00B91A9F"/>
    <w:rsid w:val="00BA0B42"/>
    <w:rsid w:val="00BB719C"/>
    <w:rsid w:val="00BD4262"/>
    <w:rsid w:val="00BD4266"/>
    <w:rsid w:val="00BD6927"/>
    <w:rsid w:val="00BF10CB"/>
    <w:rsid w:val="00C26FE5"/>
    <w:rsid w:val="00C277AD"/>
    <w:rsid w:val="00C54627"/>
    <w:rsid w:val="00C94AB8"/>
    <w:rsid w:val="00CB6F71"/>
    <w:rsid w:val="00CC01A8"/>
    <w:rsid w:val="00CC4FDF"/>
    <w:rsid w:val="00CE56DD"/>
    <w:rsid w:val="00CE6C58"/>
    <w:rsid w:val="00D06AEF"/>
    <w:rsid w:val="00D43E68"/>
    <w:rsid w:val="00D46142"/>
    <w:rsid w:val="00D71D5A"/>
    <w:rsid w:val="00D747FB"/>
    <w:rsid w:val="00D807F0"/>
    <w:rsid w:val="00D85201"/>
    <w:rsid w:val="00D9639C"/>
    <w:rsid w:val="00DA170B"/>
    <w:rsid w:val="00DC168C"/>
    <w:rsid w:val="00DD632E"/>
    <w:rsid w:val="00E01913"/>
    <w:rsid w:val="00E036E2"/>
    <w:rsid w:val="00E437D6"/>
    <w:rsid w:val="00E72D10"/>
    <w:rsid w:val="00E73BC2"/>
    <w:rsid w:val="00E7529E"/>
    <w:rsid w:val="00E7536D"/>
    <w:rsid w:val="00E75D85"/>
    <w:rsid w:val="00E87BAB"/>
    <w:rsid w:val="00EC3DDB"/>
    <w:rsid w:val="00EF24E6"/>
    <w:rsid w:val="00EF4D44"/>
    <w:rsid w:val="00F1750F"/>
    <w:rsid w:val="00F53303"/>
    <w:rsid w:val="00F70487"/>
    <w:rsid w:val="00F82134"/>
    <w:rsid w:val="00F943B5"/>
    <w:rsid w:val="00FB25F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00" w:afterAutospacing="1" w:line="0"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19B"/>
    <w:pPr>
      <w:spacing w:after="200" w:afterAutospacing="0" w:line="276" w:lineRule="auto"/>
      <w:jc w:val="left"/>
    </w:pPr>
  </w:style>
  <w:style w:type="paragraph" w:styleId="Balk7">
    <w:name w:val="heading 7"/>
    <w:basedOn w:val="Normal"/>
    <w:next w:val="Normal"/>
    <w:link w:val="Balk7Char"/>
    <w:qFormat/>
    <w:rsid w:val="003E002F"/>
    <w:pPr>
      <w:keepNext/>
      <w:spacing w:after="0" w:line="240" w:lineRule="auto"/>
      <w:jc w:val="center"/>
      <w:outlineLvl w:val="6"/>
    </w:pPr>
    <w:rPr>
      <w:rFonts w:ascii="Times New Roman" w:eastAsia="Arial Unicode MS" w:hAnsi="Times New Roman" w:cs="Arial Unicode MS"/>
      <w:b/>
      <w:bCs/>
      <w:sz w:val="16"/>
      <w:szCs w:val="1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6219B"/>
    <w:pPr>
      <w:ind w:left="720"/>
      <w:contextualSpacing/>
    </w:pPr>
  </w:style>
  <w:style w:type="character" w:styleId="Kpr">
    <w:name w:val="Hyperlink"/>
    <w:basedOn w:val="VarsaylanParagrafYazTipi"/>
    <w:uiPriority w:val="99"/>
    <w:unhideWhenUsed/>
    <w:rsid w:val="006E1452"/>
    <w:rPr>
      <w:color w:val="0000FF" w:themeColor="hyperlink"/>
      <w:u w:val="single"/>
    </w:rPr>
  </w:style>
  <w:style w:type="paragraph" w:styleId="BalonMetni">
    <w:name w:val="Balloon Text"/>
    <w:basedOn w:val="Normal"/>
    <w:link w:val="BalonMetniChar"/>
    <w:uiPriority w:val="99"/>
    <w:semiHidden/>
    <w:unhideWhenUsed/>
    <w:rsid w:val="001E741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E7410"/>
    <w:rPr>
      <w:rFonts w:ascii="Tahoma" w:hAnsi="Tahoma" w:cs="Tahoma"/>
      <w:sz w:val="16"/>
      <w:szCs w:val="16"/>
    </w:rPr>
  </w:style>
  <w:style w:type="paragraph" w:customStyle="1" w:styleId="3-NormalYaz">
    <w:name w:val="3-Normal Yazı"/>
    <w:rsid w:val="003E002F"/>
    <w:pPr>
      <w:tabs>
        <w:tab w:val="left" w:pos="566"/>
      </w:tabs>
      <w:spacing w:after="0" w:afterAutospacing="0" w:line="240" w:lineRule="auto"/>
      <w:jc w:val="both"/>
    </w:pPr>
    <w:rPr>
      <w:rFonts w:ascii="Times New Roman" w:eastAsia="Times New Roman" w:hAnsi="Times New Roman" w:cs="Times New Roman"/>
      <w:sz w:val="19"/>
      <w:szCs w:val="20"/>
    </w:rPr>
  </w:style>
  <w:style w:type="character" w:customStyle="1" w:styleId="style101">
    <w:name w:val="style101"/>
    <w:basedOn w:val="VarsaylanParagrafYazTipi"/>
    <w:rsid w:val="003E002F"/>
    <w:rPr>
      <w:rFonts w:ascii="Verdana" w:hAnsi="Verdana" w:hint="default"/>
    </w:rPr>
  </w:style>
  <w:style w:type="character" w:customStyle="1" w:styleId="Balk7Char">
    <w:name w:val="Başlık 7 Char"/>
    <w:basedOn w:val="VarsaylanParagrafYazTipi"/>
    <w:link w:val="Balk7"/>
    <w:rsid w:val="003E002F"/>
    <w:rPr>
      <w:rFonts w:ascii="Times New Roman" w:eastAsia="Arial Unicode MS" w:hAnsi="Times New Roman" w:cs="Arial Unicode MS"/>
      <w:b/>
      <w:bCs/>
      <w:sz w:val="16"/>
      <w:szCs w:val="18"/>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ludag.edu.tr" TargetMode="External"/><Relationship Id="rId3" Type="http://schemas.openxmlformats.org/officeDocument/2006/relationships/styles" Target="styles.xml"/><Relationship Id="rId7" Type="http://schemas.openxmlformats.org/officeDocument/2006/relationships/hyperlink" Target="http://www.uludag.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ludag.edu.t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3D755-BD74-4B72-B249-FFBAC2546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700</Words>
  <Characters>3996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ÖGRENCİ İŞLERİ</dc:creator>
  <cp:lastModifiedBy>user</cp:lastModifiedBy>
  <cp:revision>4</cp:revision>
  <cp:lastPrinted>2011-12-14T12:09:00Z</cp:lastPrinted>
  <dcterms:created xsi:type="dcterms:W3CDTF">2011-12-14T12:08:00Z</dcterms:created>
  <dcterms:modified xsi:type="dcterms:W3CDTF">2011-12-14T12:09:00Z</dcterms:modified>
</cp:coreProperties>
</file>