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7" w:rsidRDefault="00462A87" w:rsidP="00462A8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DERS SEÇİM TABLOSU</w:t>
      </w:r>
    </w:p>
    <w:p w:rsidR="00B355C2" w:rsidRPr="00462A87" w:rsidRDefault="00462A87" w:rsidP="00462A87">
      <w:pPr>
        <w:jc w:val="center"/>
        <w:rPr>
          <w:rFonts w:ascii="Arial Black" w:hAnsi="Arial Black" w:cs="Times New Roman"/>
          <w:b/>
          <w:sz w:val="18"/>
          <w:szCs w:val="18"/>
        </w:rPr>
      </w:pPr>
      <w:r w:rsidRPr="000678B1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Arial Black" w:hAnsi="Arial Black" w:cs="Times New Roman"/>
          <w:b/>
          <w:sz w:val="18"/>
          <w:szCs w:val="18"/>
          <w:u w:val="single"/>
        </w:rPr>
        <w:t>II.</w:t>
      </w:r>
      <w:r w:rsidRPr="00A53064">
        <w:rPr>
          <w:rFonts w:ascii="Arial Black" w:hAnsi="Arial Black" w:cs="Times New Roman"/>
          <w:b/>
          <w:sz w:val="18"/>
          <w:szCs w:val="18"/>
          <w:u w:val="single"/>
        </w:rPr>
        <w:t>ÖĞRETİM</w:t>
      </w:r>
      <w:proofErr w:type="gramEnd"/>
    </w:p>
    <w:p w:rsidR="00786281" w:rsidRDefault="00B355C2" w:rsidP="00B355C2">
      <w:pPr>
        <w:rPr>
          <w:rFonts w:ascii="Arial Black" w:hAnsi="Arial Black" w:cs="Times New Roman"/>
          <w:b/>
          <w:sz w:val="18"/>
          <w:szCs w:val="18"/>
        </w:rPr>
      </w:pPr>
      <w:r w:rsidRPr="00B355C2">
        <w:rPr>
          <w:rFonts w:ascii="Arial Black" w:hAnsi="Arial Black" w:cs="Times New Roman"/>
          <w:b/>
          <w:sz w:val="18"/>
          <w:szCs w:val="18"/>
        </w:rPr>
        <w:t>2011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B355C2">
        <w:rPr>
          <w:rFonts w:ascii="Arial Black" w:hAnsi="Arial Black" w:cs="Times New Roman"/>
          <w:b/>
          <w:sz w:val="18"/>
          <w:szCs w:val="18"/>
        </w:rPr>
        <w:t xml:space="preserve">Kodlu </w:t>
      </w:r>
      <w:r w:rsidR="009E34B5">
        <w:rPr>
          <w:rFonts w:ascii="Arial Black" w:hAnsi="Arial Black" w:cs="Times New Roman"/>
          <w:b/>
          <w:sz w:val="18"/>
          <w:szCs w:val="18"/>
        </w:rPr>
        <w:t>Öğrenciler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462A87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62A87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462A87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866ED" w:rsidRDefault="00786281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4B5" w:rsidRDefault="00786281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</w:t>
            </w:r>
            <w:r w:rsidR="009E3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  <w:p w:rsidR="00786281" w:rsidRPr="003866ED" w:rsidRDefault="009E34B5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Teknolojileri</w:t>
            </w:r>
          </w:p>
          <w:p w:rsidR="00786281" w:rsidRPr="003866ED" w:rsidRDefault="00786281" w:rsidP="009E3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KIM1004Kimyacılar İçin Mat</w:t>
            </w:r>
          </w:p>
          <w:p w:rsidR="00786281" w:rsidRPr="00B355C2" w:rsidRDefault="00786281" w:rsidP="0054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CF2DC0" w:rsidRDefault="00CF2DC0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86281" w:rsidRDefault="00786281" w:rsidP="001B048B">
            <w:pPr>
              <w:jc w:val="center"/>
              <w:rPr>
                <w:sz w:val="18"/>
                <w:szCs w:val="18"/>
              </w:rPr>
            </w:pPr>
          </w:p>
          <w:p w:rsidR="00CF2DC0" w:rsidRDefault="00CF2DC0" w:rsidP="001B048B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1B0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Default="00786281" w:rsidP="009C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E0E07">
              <w:rPr>
                <w:sz w:val="18"/>
                <w:szCs w:val="18"/>
              </w:rPr>
              <w:t xml:space="preserve">FZK 1080 </w:t>
            </w:r>
          </w:p>
          <w:p w:rsidR="00786281" w:rsidRPr="00BE0E07" w:rsidRDefault="00786281" w:rsidP="00786281">
            <w:pPr>
              <w:jc w:val="center"/>
              <w:rPr>
                <w:sz w:val="18"/>
                <w:szCs w:val="18"/>
              </w:rPr>
            </w:pPr>
            <w:r w:rsidRPr="00BE0E07">
              <w:rPr>
                <w:sz w:val="18"/>
                <w:szCs w:val="18"/>
              </w:rPr>
              <w:t xml:space="preserve">Genel Fizik </w:t>
            </w:r>
            <w:proofErr w:type="spellStart"/>
            <w:r w:rsidRPr="00BE0E07"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462A87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462A87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</w:tbl>
    <w:p w:rsidR="009E34B5" w:rsidRDefault="009E34B5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5F10DF">
        <w:trPr>
          <w:trHeight w:val="3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462A8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62A87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462A8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9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 w:rsidR="009E34B5"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D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E34B5" w:rsidRDefault="003D5E73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3007</w:t>
            </w:r>
          </w:p>
          <w:p w:rsidR="003D5E73" w:rsidRPr="003D5E73" w:rsidRDefault="009E34B5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  <w:r w:rsidR="00D225D4"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034C9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0034C9" w:rsidRDefault="000034C9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34C9" w:rsidRDefault="000034C9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4C9" w:rsidRDefault="000034C9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034C9" w:rsidRDefault="000034C9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034C9" w:rsidRDefault="000034C9" w:rsidP="00003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034C9" w:rsidRPr="000034C9" w:rsidRDefault="000034C9" w:rsidP="000034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4C9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034C9" w:rsidRPr="003D5E73" w:rsidRDefault="000034C9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4C9" w:rsidRPr="003D5E73" w:rsidRDefault="000034C9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34C9" w:rsidRDefault="000034C9" w:rsidP="00003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462A87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462A8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62A87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462A87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622CA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22CA7" w:rsidRPr="00CF2DC0" w:rsidRDefault="00622CA7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622CA7" w:rsidRPr="00CF2DC0" w:rsidRDefault="00622CA7" w:rsidP="00CF2D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Biyokimyanın Temelleri</w:t>
            </w:r>
          </w:p>
        </w:tc>
        <w:tc>
          <w:tcPr>
            <w:tcW w:w="850" w:type="dxa"/>
          </w:tcPr>
          <w:p w:rsidR="00622CA7" w:rsidRDefault="00622CA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2CA7" w:rsidRDefault="00622CA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2CA7" w:rsidRPr="00190777" w:rsidRDefault="00622CA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22CA7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</w:p>
          <w:p w:rsidR="00622CA7" w:rsidRPr="00CF2DC0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Kimyada Reaksiyon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2CA7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2CA7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22CA7" w:rsidRPr="00190777" w:rsidRDefault="00622CA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A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22CA7" w:rsidRPr="00CF2DC0" w:rsidRDefault="00622CA7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22CA7" w:rsidRPr="003866ED" w:rsidRDefault="00622CA7" w:rsidP="009E3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Kimyası</w:t>
            </w:r>
          </w:p>
        </w:tc>
        <w:tc>
          <w:tcPr>
            <w:tcW w:w="850" w:type="dxa"/>
          </w:tcPr>
          <w:p w:rsidR="00622CA7" w:rsidRDefault="00622CA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2CA7" w:rsidRDefault="00622CA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Pr="003866ED" w:rsidRDefault="00622CA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2CA7" w:rsidRDefault="00622CA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22CA7" w:rsidRPr="00D052D6" w:rsidRDefault="00622CA7" w:rsidP="0006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2CA7" w:rsidRPr="003866ED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2CA7" w:rsidRPr="003866ED" w:rsidRDefault="00622CA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2CA7" w:rsidRDefault="00622CA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462A87">
        <w:trPr>
          <w:trHeight w:val="33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462A8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462A8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A87" w:rsidRPr="00622CA7" w:rsidRDefault="00622CA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62A87" w:rsidRPr="00622CA7" w:rsidRDefault="00622CA7" w:rsidP="0062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62A87" w:rsidRPr="00622CA7" w:rsidRDefault="00622CA7" w:rsidP="0062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62A87" w:rsidRPr="00622CA7" w:rsidRDefault="00622CA7" w:rsidP="0062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622CA7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462A87">
        <w:trPr>
          <w:trHeight w:val="175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462A8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462A87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462A87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462A87">
        <w:tblPrEx>
          <w:tblCellMar>
            <w:left w:w="108" w:type="dxa"/>
            <w:right w:w="108" w:type="dxa"/>
          </w:tblCellMar>
          <w:tblLook w:val="04A0"/>
        </w:tblPrEx>
        <w:trPr>
          <w:trHeight w:val="58"/>
        </w:trPr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462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462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1590B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Kimyada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NMR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KIM4009Bi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yokimya ve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Biyomalzemeler</w:t>
            </w:r>
            <w:proofErr w:type="spellEnd"/>
          </w:p>
          <w:p w:rsidR="0061590B" w:rsidRDefault="0061590B" w:rsidP="00615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Kimyasal Termodinamik</w:t>
            </w:r>
          </w:p>
          <w:p w:rsidR="0061590B" w:rsidRPr="0061590B" w:rsidRDefault="0061590B" w:rsidP="006159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rganik Kim.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İnfrared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684759" w:rsidRDefault="00684759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Tıpta Metaller</w:t>
            </w: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Endüstriyel Organik Moleküller</w:t>
            </w:r>
          </w:p>
          <w:p w:rsidR="0061590B" w:rsidRPr="00190777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A87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462A87" w:rsidRPr="003E79D6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462A87" w:rsidRPr="003E79D6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462A87" w:rsidRPr="003E79D6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462A87" w:rsidRPr="003E79D6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462A87" w:rsidRPr="003E79D6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462A87" w:rsidRPr="001F05E1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622CA7" w:rsidRDefault="00622CA7" w:rsidP="00622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CA7" w:rsidRDefault="00622CA7" w:rsidP="0062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622CA7" w:rsidRDefault="00622CA7" w:rsidP="0062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622CA7" w:rsidRDefault="00622CA7" w:rsidP="0062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462A87" w:rsidRDefault="00622CA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462A87" w:rsidRPr="00C354B1" w:rsidRDefault="00462A87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87" w:rsidRPr="003866ED" w:rsidRDefault="00462A87" w:rsidP="0046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622CA7" w:rsidRPr="00271E57" w:rsidRDefault="00622CA7" w:rsidP="00622CA7">
      <w:pPr>
        <w:rPr>
          <w:rFonts w:ascii="Times New Roman" w:hAnsi="Times New Roman" w:cs="Times New Roman"/>
          <w:sz w:val="18"/>
          <w:szCs w:val="18"/>
        </w:rPr>
      </w:pPr>
      <w:r w:rsidRPr="00271E57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Pr="00271E5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71E57">
        <w:rPr>
          <w:rFonts w:ascii="Times New Roman" w:hAnsi="Times New Roman" w:cs="Times New Roman"/>
          <w:sz w:val="18"/>
          <w:szCs w:val="18"/>
        </w:rPr>
        <w:t xml:space="preserve">Bölümümüzde </w:t>
      </w:r>
      <w:proofErr w:type="gramStart"/>
      <w:r w:rsidRPr="00271E57">
        <w:rPr>
          <w:rFonts w:ascii="Times New Roman" w:hAnsi="Times New Roman" w:cs="Times New Roman"/>
          <w:sz w:val="18"/>
          <w:szCs w:val="18"/>
        </w:rPr>
        <w:t>II.Öğretim</w:t>
      </w:r>
      <w:proofErr w:type="gramEnd"/>
      <w:r w:rsidRPr="00271E57">
        <w:rPr>
          <w:rFonts w:ascii="Times New Roman" w:hAnsi="Times New Roman" w:cs="Times New Roman"/>
          <w:sz w:val="18"/>
          <w:szCs w:val="18"/>
        </w:rPr>
        <w:t xml:space="preserve"> programı kapandığı için Öğrenci sayısı </w:t>
      </w:r>
      <w:r>
        <w:rPr>
          <w:rFonts w:ascii="Times New Roman" w:hAnsi="Times New Roman" w:cs="Times New Roman"/>
          <w:sz w:val="18"/>
          <w:szCs w:val="18"/>
        </w:rPr>
        <w:t>10 kişinin altına düşen dersler II.Öğretimde açılmayacaktır.Açılmayan dersleri alması gereken öğrencilerin Örgün Öğretim ders programından seçim yapmaları ve derslere Örgün Öğretim öğrencileri ile birlikte girmeleri gerekmektedir.</w:t>
      </w: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sectPr w:rsidR="00BE0C99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034C9"/>
    <w:rsid w:val="00021613"/>
    <w:rsid w:val="00026073"/>
    <w:rsid w:val="000309B7"/>
    <w:rsid w:val="00033636"/>
    <w:rsid w:val="00045362"/>
    <w:rsid w:val="00056E8D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791E"/>
    <w:rsid w:val="00222192"/>
    <w:rsid w:val="00231E2E"/>
    <w:rsid w:val="002428E8"/>
    <w:rsid w:val="00245C51"/>
    <w:rsid w:val="00276437"/>
    <w:rsid w:val="00283D15"/>
    <w:rsid w:val="002911B1"/>
    <w:rsid w:val="002D3E66"/>
    <w:rsid w:val="002E09A5"/>
    <w:rsid w:val="002E1B38"/>
    <w:rsid w:val="003149B0"/>
    <w:rsid w:val="003233C8"/>
    <w:rsid w:val="003566B5"/>
    <w:rsid w:val="00370E2B"/>
    <w:rsid w:val="003B2A05"/>
    <w:rsid w:val="003C71D9"/>
    <w:rsid w:val="003D5E73"/>
    <w:rsid w:val="004041B0"/>
    <w:rsid w:val="00406E9D"/>
    <w:rsid w:val="00411E32"/>
    <w:rsid w:val="00460564"/>
    <w:rsid w:val="00462A87"/>
    <w:rsid w:val="004702AA"/>
    <w:rsid w:val="004904FD"/>
    <w:rsid w:val="004941D8"/>
    <w:rsid w:val="004D4122"/>
    <w:rsid w:val="004D796C"/>
    <w:rsid w:val="004E16B2"/>
    <w:rsid w:val="004E26EF"/>
    <w:rsid w:val="005165C1"/>
    <w:rsid w:val="005343C6"/>
    <w:rsid w:val="00536597"/>
    <w:rsid w:val="005402FF"/>
    <w:rsid w:val="00552165"/>
    <w:rsid w:val="005654C5"/>
    <w:rsid w:val="00570B80"/>
    <w:rsid w:val="0058335D"/>
    <w:rsid w:val="005B55E4"/>
    <w:rsid w:val="005D62D3"/>
    <w:rsid w:val="005F10DF"/>
    <w:rsid w:val="0061590B"/>
    <w:rsid w:val="00622CA7"/>
    <w:rsid w:val="00654DCF"/>
    <w:rsid w:val="006749D6"/>
    <w:rsid w:val="0068040B"/>
    <w:rsid w:val="00684759"/>
    <w:rsid w:val="00686CD7"/>
    <w:rsid w:val="006A335A"/>
    <w:rsid w:val="006A7BA7"/>
    <w:rsid w:val="006B5C73"/>
    <w:rsid w:val="006D09F8"/>
    <w:rsid w:val="006D413F"/>
    <w:rsid w:val="006D4233"/>
    <w:rsid w:val="006E1FAF"/>
    <w:rsid w:val="006E7C80"/>
    <w:rsid w:val="006F2946"/>
    <w:rsid w:val="00701367"/>
    <w:rsid w:val="00705B61"/>
    <w:rsid w:val="007129A7"/>
    <w:rsid w:val="007228FD"/>
    <w:rsid w:val="00743439"/>
    <w:rsid w:val="007646EB"/>
    <w:rsid w:val="00776884"/>
    <w:rsid w:val="00786281"/>
    <w:rsid w:val="007B7248"/>
    <w:rsid w:val="007B7BEF"/>
    <w:rsid w:val="007C0805"/>
    <w:rsid w:val="008178B6"/>
    <w:rsid w:val="00831ACA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93F90"/>
    <w:rsid w:val="009A7984"/>
    <w:rsid w:val="009B24FA"/>
    <w:rsid w:val="009B4146"/>
    <w:rsid w:val="009B6031"/>
    <w:rsid w:val="009C3ECC"/>
    <w:rsid w:val="009E34B5"/>
    <w:rsid w:val="00A1115D"/>
    <w:rsid w:val="00A714A1"/>
    <w:rsid w:val="00A80460"/>
    <w:rsid w:val="00A80743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60BE1"/>
    <w:rsid w:val="00C637DE"/>
    <w:rsid w:val="00C85531"/>
    <w:rsid w:val="00C85923"/>
    <w:rsid w:val="00C96C05"/>
    <w:rsid w:val="00C97218"/>
    <w:rsid w:val="00CD671F"/>
    <w:rsid w:val="00CD7BD2"/>
    <w:rsid w:val="00CE0088"/>
    <w:rsid w:val="00CF2DC0"/>
    <w:rsid w:val="00D225D4"/>
    <w:rsid w:val="00D55BE8"/>
    <w:rsid w:val="00D62F76"/>
    <w:rsid w:val="00D91B88"/>
    <w:rsid w:val="00DA307E"/>
    <w:rsid w:val="00DB37A5"/>
    <w:rsid w:val="00DC2ACC"/>
    <w:rsid w:val="00DC4C9D"/>
    <w:rsid w:val="00DD6B0A"/>
    <w:rsid w:val="00DF479E"/>
    <w:rsid w:val="00E3038B"/>
    <w:rsid w:val="00E30CB4"/>
    <w:rsid w:val="00E33373"/>
    <w:rsid w:val="00E459B3"/>
    <w:rsid w:val="00E81005"/>
    <w:rsid w:val="00E90836"/>
    <w:rsid w:val="00E96036"/>
    <w:rsid w:val="00E96D69"/>
    <w:rsid w:val="00EA192B"/>
    <w:rsid w:val="00F01838"/>
    <w:rsid w:val="00F07A2E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C172-2B98-4CC8-97D6-6A2B02C6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11</cp:revision>
  <dcterms:created xsi:type="dcterms:W3CDTF">2016-05-10T07:20:00Z</dcterms:created>
  <dcterms:modified xsi:type="dcterms:W3CDTF">2017-01-06T09:02:00Z</dcterms:modified>
</cp:coreProperties>
</file>