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903"/>
        <w:gridCol w:w="2288"/>
        <w:gridCol w:w="263"/>
        <w:gridCol w:w="2642"/>
      </w:tblGrid>
      <w:tr w:rsidR="0070295D" w:rsidRPr="00F26E66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926CC2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E12EE4" w:rsidP="00DE743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DE743A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DE743A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80798B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Yaklaşık maliyet esas olmak üzere piyasa fiyat araştırması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İlke ACAR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DE743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</w:t>
            </w:r>
            <w:r w:rsidR="00DE743A">
              <w:rPr>
                <w:rFonts w:ascii="Verdana" w:hAnsi="Verdana"/>
                <w:sz w:val="16"/>
                <w:szCs w:val="16"/>
              </w:rPr>
              <w:t>28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E743A"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  <w:r w:rsidR="00F10EAD">
              <w:rPr>
                <w:rFonts w:ascii="Verdana" w:hAnsi="Verdana"/>
                <w:sz w:val="16"/>
                <w:szCs w:val="16"/>
              </w:rPr>
              <w:t>ailke</w:t>
            </w:r>
            <w:r w:rsidR="00B66F03">
              <w:rPr>
                <w:rFonts w:ascii="Verdana" w:hAnsi="Verdana"/>
                <w:sz w:val="16"/>
                <w:szCs w:val="16"/>
              </w:rPr>
              <w:t>@uludag.edu.tr</w:t>
            </w:r>
            <w:proofErr w:type="spellEnd"/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3307EF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AF699F" w:rsidRDefault="003307EF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307EF" w:rsidRPr="009818D6" w:rsidRDefault="00131885" w:rsidP="00131885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 TUR"/>
                <w:color w:val="000000"/>
                <w:sz w:val="22"/>
                <w:szCs w:val="22"/>
              </w:rPr>
              <w:t>Elektronik Tebligat ve Kayıtlı Elektronik Posta Entegrasyon Çözümü</w:t>
            </w:r>
            <w:r w:rsidR="00DE743A">
              <w:rPr>
                <w:rFonts w:ascii="Calibri" w:hAnsi="Calibri" w:cs="Arial TUR"/>
                <w:color w:val="000000"/>
                <w:sz w:val="22"/>
                <w:szCs w:val="22"/>
              </w:rPr>
              <w:t xml:space="preserve"> Alımı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F747C5" w:rsidRDefault="003307EF" w:rsidP="00EF2EB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7EF" w:rsidRPr="00F26E66" w:rsidRDefault="003307EF" w:rsidP="003307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07EF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AF699F" w:rsidRDefault="003307EF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307EF" w:rsidRPr="009818D6" w:rsidRDefault="003307EF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F747C5" w:rsidRDefault="003307EF" w:rsidP="00EF2EB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07EF" w:rsidRPr="00F26E66" w:rsidRDefault="003307EF" w:rsidP="00406A9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79C0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Pr="009818D6" w:rsidRDefault="00C9040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79C0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540CEB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040A" w:rsidRPr="00F26E66" w:rsidRDefault="00C9040A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C9040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Default="00C9040A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0529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0529" w:rsidRPr="00AF699F" w:rsidRDefault="00080529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29" w:rsidRDefault="00080529" w:rsidP="005735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0529" w:rsidRPr="00534431" w:rsidRDefault="00080529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080529" w:rsidRPr="00F26E66" w:rsidRDefault="00080529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0529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0529" w:rsidRPr="00AF699F" w:rsidRDefault="00080529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29" w:rsidRDefault="00080529" w:rsidP="005735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0529" w:rsidRDefault="00080529" w:rsidP="005735D9">
            <w:pPr>
              <w:jc w:val="center"/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080529" w:rsidRPr="00F26E66" w:rsidRDefault="00080529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0529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0529" w:rsidRPr="00AF699F" w:rsidRDefault="00080529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29" w:rsidRDefault="00080529" w:rsidP="005735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0529" w:rsidRDefault="00080529" w:rsidP="005735D9">
            <w:pPr>
              <w:jc w:val="center"/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080529" w:rsidRPr="00F26E66" w:rsidRDefault="00080529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0529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0529" w:rsidRPr="00AF699F" w:rsidRDefault="00080529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29" w:rsidRDefault="00080529" w:rsidP="005735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0529" w:rsidRDefault="00080529" w:rsidP="005735D9">
            <w:pPr>
              <w:jc w:val="center"/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080529" w:rsidRPr="00F26E66" w:rsidRDefault="00080529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E5BAD" w:rsidRPr="00F26E66" w:rsidRDefault="005905A2" w:rsidP="005905A2">
      <w:pPr>
        <w:tabs>
          <w:tab w:val="left" w:pos="67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EE5BAD" w:rsidRPr="0046767E" w:rsidRDefault="00E12EE4" w:rsidP="001F41B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Üniversitemiz</w:t>
      </w:r>
      <w:r w:rsidR="00DE743A">
        <w:rPr>
          <w:rFonts w:ascii="Verdana" w:hAnsi="Verdana"/>
          <w:b/>
          <w:sz w:val="18"/>
          <w:szCs w:val="18"/>
        </w:rPr>
        <w:t>de kullanılmak üzere</w:t>
      </w:r>
      <w:r w:rsidR="0075633D">
        <w:rPr>
          <w:rFonts w:ascii="Verdana" w:hAnsi="Verdana"/>
          <w:b/>
          <w:sz w:val="18"/>
          <w:szCs w:val="18"/>
        </w:rPr>
        <w:t xml:space="preserve"> alınacak</w:t>
      </w:r>
      <w:r>
        <w:rPr>
          <w:rFonts w:ascii="Verdana" w:hAnsi="Verdana"/>
          <w:b/>
          <w:sz w:val="18"/>
          <w:szCs w:val="18"/>
        </w:rPr>
        <w:t xml:space="preserve"> </w:t>
      </w:r>
      <w:r w:rsidR="00131885" w:rsidRPr="00131885">
        <w:rPr>
          <w:rFonts w:ascii="Calibri" w:hAnsi="Calibri" w:cs="Arial TUR"/>
          <w:b/>
          <w:color w:val="000000"/>
          <w:sz w:val="22"/>
          <w:szCs w:val="22"/>
        </w:rPr>
        <w:t xml:space="preserve">Elektronik Tebligat ve Kayıtlı Elektronik Posta Entegrasyon Çözümü </w:t>
      </w:r>
      <w:r w:rsidR="001F41B9" w:rsidRPr="00C9040A">
        <w:rPr>
          <w:rFonts w:ascii="Verdana" w:hAnsi="Verdana"/>
          <w:sz w:val="18"/>
          <w:szCs w:val="18"/>
        </w:rPr>
        <w:t xml:space="preserve">için teklifler </w:t>
      </w:r>
      <w:proofErr w:type="gramStart"/>
      <w:r w:rsidR="00DE743A">
        <w:rPr>
          <w:rFonts w:ascii="Verdana" w:hAnsi="Verdana"/>
          <w:sz w:val="18"/>
          <w:szCs w:val="18"/>
        </w:rPr>
        <w:t>01</w:t>
      </w:r>
      <w:r w:rsidR="002772E3" w:rsidRPr="00C9040A">
        <w:rPr>
          <w:rFonts w:ascii="Verdana" w:hAnsi="Verdana"/>
          <w:b/>
          <w:sz w:val="18"/>
          <w:szCs w:val="18"/>
        </w:rPr>
        <w:t>/</w:t>
      </w:r>
      <w:r w:rsidR="00DE743A">
        <w:rPr>
          <w:rFonts w:ascii="Verdana" w:hAnsi="Verdana"/>
          <w:b/>
          <w:sz w:val="18"/>
          <w:szCs w:val="18"/>
        </w:rPr>
        <w:t>04</w:t>
      </w:r>
      <w:r w:rsidR="001F41B9" w:rsidRPr="00C9040A">
        <w:rPr>
          <w:rFonts w:ascii="Verdana" w:hAnsi="Verdana"/>
          <w:b/>
          <w:sz w:val="18"/>
          <w:szCs w:val="18"/>
        </w:rPr>
        <w:t>/</w:t>
      </w:r>
      <w:r w:rsidR="00EE5BAD" w:rsidRPr="00C9040A">
        <w:rPr>
          <w:rFonts w:ascii="Verdana" w:hAnsi="Verdana"/>
          <w:b/>
          <w:sz w:val="18"/>
          <w:szCs w:val="18"/>
        </w:rPr>
        <w:t>20</w:t>
      </w:r>
      <w:r w:rsidR="00515BB0" w:rsidRPr="00C9040A">
        <w:rPr>
          <w:rFonts w:ascii="Verdana" w:hAnsi="Verdana"/>
          <w:b/>
          <w:sz w:val="18"/>
          <w:szCs w:val="18"/>
        </w:rPr>
        <w:t>1</w:t>
      </w:r>
      <w:r w:rsidR="00DE743A">
        <w:rPr>
          <w:rFonts w:ascii="Verdana" w:hAnsi="Verdana"/>
          <w:b/>
          <w:sz w:val="18"/>
          <w:szCs w:val="18"/>
        </w:rPr>
        <w:t>6</w:t>
      </w:r>
      <w:proofErr w:type="gramEnd"/>
      <w:r w:rsidR="00422021" w:rsidRPr="00C9040A">
        <w:rPr>
          <w:rFonts w:ascii="Verdana" w:hAnsi="Verdana"/>
          <w:sz w:val="18"/>
          <w:szCs w:val="18"/>
        </w:rPr>
        <w:t xml:space="preserve"> </w:t>
      </w:r>
      <w:r w:rsidR="00EE5BAD" w:rsidRPr="00C9040A">
        <w:rPr>
          <w:rFonts w:ascii="Verdana" w:hAnsi="Verdana"/>
          <w:sz w:val="18"/>
          <w:szCs w:val="18"/>
        </w:rPr>
        <w:t>tarih ve</w:t>
      </w:r>
      <w:r w:rsidR="00897C47" w:rsidRPr="00C9040A">
        <w:rPr>
          <w:rFonts w:ascii="Verdana" w:hAnsi="Verdana"/>
          <w:sz w:val="18"/>
          <w:szCs w:val="18"/>
        </w:rPr>
        <w:t xml:space="preserve"> </w:t>
      </w:r>
      <w:r w:rsidR="007A39FC" w:rsidRPr="00C9040A">
        <w:rPr>
          <w:rFonts w:ascii="Verdana" w:hAnsi="Verdana"/>
          <w:sz w:val="18"/>
          <w:szCs w:val="18"/>
        </w:rPr>
        <w:t xml:space="preserve">saat </w:t>
      </w:r>
      <w:r w:rsidR="00F83333" w:rsidRPr="00C9040A">
        <w:rPr>
          <w:rFonts w:ascii="Verdana" w:hAnsi="Verdana"/>
          <w:b/>
          <w:sz w:val="18"/>
          <w:szCs w:val="18"/>
        </w:rPr>
        <w:t>17</w:t>
      </w:r>
      <w:r w:rsidR="00812433" w:rsidRPr="00C9040A">
        <w:rPr>
          <w:rFonts w:ascii="Verdana" w:hAnsi="Verdana"/>
          <w:b/>
          <w:sz w:val="18"/>
          <w:szCs w:val="18"/>
        </w:rPr>
        <w:t>:00</w:t>
      </w:r>
      <w:r w:rsidR="00EE5BAD" w:rsidRPr="00C9040A">
        <w:rPr>
          <w:rFonts w:ascii="Verdana" w:hAnsi="Verdana"/>
          <w:sz w:val="18"/>
          <w:szCs w:val="18"/>
        </w:rPr>
        <w:t xml:space="preserve"> </w:t>
      </w:r>
      <w:r w:rsidR="004751BA" w:rsidRPr="00C9040A">
        <w:rPr>
          <w:rFonts w:ascii="Verdana" w:hAnsi="Verdana"/>
          <w:sz w:val="18"/>
          <w:szCs w:val="18"/>
        </w:rPr>
        <w:t>ye</w:t>
      </w:r>
      <w:r w:rsidR="00EE5BAD" w:rsidRPr="00C9040A">
        <w:rPr>
          <w:rFonts w:ascii="Verdana" w:hAnsi="Verdana"/>
          <w:sz w:val="18"/>
          <w:szCs w:val="18"/>
        </w:rPr>
        <w:t xml:space="preserve"> kadar U.Ü. Rektörlüğü </w:t>
      </w:r>
      <w:r w:rsidR="00F10EAD">
        <w:rPr>
          <w:rFonts w:ascii="Verdana" w:hAnsi="Verdana"/>
          <w:sz w:val="18"/>
          <w:szCs w:val="18"/>
        </w:rPr>
        <w:t xml:space="preserve">Bilgi İşlem Daire </w:t>
      </w:r>
      <w:r w:rsidR="00EE5BAD" w:rsidRPr="00C9040A">
        <w:rPr>
          <w:rFonts w:ascii="Verdana" w:hAnsi="Verdana"/>
          <w:sz w:val="18"/>
          <w:szCs w:val="18"/>
        </w:rPr>
        <w:t>Başkanlığı</w:t>
      </w:r>
      <w:r w:rsidR="00F10EAD">
        <w:rPr>
          <w:rFonts w:ascii="Verdana" w:hAnsi="Verdana"/>
          <w:sz w:val="18"/>
          <w:szCs w:val="18"/>
        </w:rPr>
        <w:t>na</w:t>
      </w:r>
      <w:r w:rsidR="00B54AA6" w:rsidRPr="0046767E">
        <w:rPr>
          <w:rFonts w:ascii="Verdana" w:hAnsi="Verdana"/>
          <w:sz w:val="18"/>
          <w:szCs w:val="18"/>
        </w:rPr>
        <w:t xml:space="preserve"> elden </w:t>
      </w:r>
      <w:r w:rsidR="00EE5BAD" w:rsidRPr="0046767E">
        <w:rPr>
          <w:rFonts w:ascii="Verdana" w:hAnsi="Verdana"/>
          <w:sz w:val="18"/>
          <w:szCs w:val="18"/>
        </w:rPr>
        <w:t>teslim</w:t>
      </w:r>
      <w:r w:rsidR="00B54AA6" w:rsidRPr="0046767E">
        <w:rPr>
          <w:rFonts w:ascii="Verdana" w:hAnsi="Verdana"/>
          <w:sz w:val="18"/>
          <w:szCs w:val="18"/>
        </w:rPr>
        <w:t xml:space="preserve"> edileceği gibi posta yoluyla da gönderilebilir.</w:t>
      </w:r>
      <w:r w:rsidR="00326994" w:rsidRPr="0046767E">
        <w:rPr>
          <w:rFonts w:ascii="Verdana" w:hAnsi="Verdana"/>
          <w:sz w:val="18"/>
          <w:szCs w:val="18"/>
        </w:rPr>
        <w:t xml:space="preserve"> (</w:t>
      </w:r>
      <w:r w:rsidR="00326994" w:rsidRPr="0046767E">
        <w:rPr>
          <w:rFonts w:ascii="Verdana" w:hAnsi="Verdana"/>
          <w:b/>
          <w:sz w:val="18"/>
          <w:szCs w:val="18"/>
        </w:rPr>
        <w:t>Not:</w:t>
      </w:r>
      <w:r w:rsidR="00326994" w:rsidRPr="0046767E">
        <w:rPr>
          <w:rFonts w:ascii="Verdana" w:hAnsi="Verdana"/>
          <w:sz w:val="18"/>
          <w:szCs w:val="18"/>
        </w:rPr>
        <w:t xml:space="preserve"> </w:t>
      </w:r>
      <w:proofErr w:type="spellStart"/>
      <w:r w:rsidR="00326994" w:rsidRPr="00985EDD">
        <w:rPr>
          <w:rFonts w:ascii="Verdana" w:hAnsi="Verdana"/>
          <w:b/>
          <w:sz w:val="18"/>
          <w:szCs w:val="18"/>
        </w:rPr>
        <w:t>Fax</w:t>
      </w:r>
      <w:proofErr w:type="spellEnd"/>
      <w:r w:rsidR="00326994" w:rsidRPr="00985EDD">
        <w:rPr>
          <w:rFonts w:ascii="Verdana" w:hAnsi="Verdana"/>
          <w:b/>
          <w:sz w:val="18"/>
          <w:szCs w:val="18"/>
        </w:rPr>
        <w:t xml:space="preserve"> ile gönderilen teklifler</w:t>
      </w:r>
      <w:r w:rsidR="00985EDD" w:rsidRPr="00985EDD">
        <w:rPr>
          <w:rFonts w:ascii="Verdana" w:hAnsi="Verdana"/>
          <w:b/>
          <w:sz w:val="18"/>
          <w:szCs w:val="18"/>
        </w:rPr>
        <w:t xml:space="preserve"> geçerli sayılmayacaktır</w:t>
      </w:r>
      <w:r w:rsidR="00326994" w:rsidRPr="0046767E">
        <w:rPr>
          <w:rFonts w:ascii="Verdana" w:hAnsi="Verdana"/>
          <w:sz w:val="18"/>
          <w:szCs w:val="18"/>
        </w:rPr>
        <w:t>.)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</w:t>
      </w:r>
      <w:proofErr w:type="gramStart"/>
      <w:r>
        <w:rPr>
          <w:rFonts w:ascii="Verdana" w:hAnsi="Verdana"/>
          <w:sz w:val="18"/>
          <w:szCs w:val="18"/>
        </w:rPr>
        <w:t xml:space="preserve">edilmesi , </w:t>
      </w:r>
      <w:r w:rsidR="002F627A">
        <w:rPr>
          <w:rFonts w:ascii="Verdana" w:hAnsi="Verdana"/>
          <w:sz w:val="18"/>
          <w:szCs w:val="18"/>
        </w:rPr>
        <w:t>belirtilen</w:t>
      </w:r>
      <w:proofErr w:type="gramEnd"/>
      <w:r w:rsidR="002F627A">
        <w:rPr>
          <w:rFonts w:ascii="Verdana" w:hAnsi="Verdana"/>
          <w:sz w:val="18"/>
          <w:szCs w:val="18"/>
        </w:rPr>
        <w:t xml:space="preserve">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43275F" w:rsidRPr="0046767E" w:rsidRDefault="0043275F" w:rsidP="0043275F">
      <w:pPr>
        <w:spacing w:line="276" w:lineRule="auto"/>
        <w:ind w:left="705"/>
        <w:jc w:val="both"/>
        <w:rPr>
          <w:rFonts w:ascii="Verdana" w:hAnsi="Verdana"/>
          <w:sz w:val="18"/>
          <w:szCs w:val="18"/>
        </w:rPr>
      </w:pPr>
    </w:p>
    <w:p w:rsidR="00D23B7D" w:rsidRPr="0046767E" w:rsidRDefault="00D23B7D" w:rsidP="00E918E1">
      <w:pPr>
        <w:ind w:firstLine="705"/>
        <w:jc w:val="both"/>
        <w:rPr>
          <w:rFonts w:ascii="Verdana" w:hAnsi="Verdana"/>
          <w:b/>
          <w:sz w:val="18"/>
          <w:szCs w:val="18"/>
        </w:rPr>
      </w:pP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D23B7D" w:rsidRPr="0046767E" w:rsidRDefault="0077316F" w:rsidP="00E918E1">
      <w:pPr>
        <w:ind w:firstLine="705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</w:p>
    <w:p w:rsidR="000540B0" w:rsidRDefault="00E918E1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23B7D"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="00D23B7D" w:rsidRPr="0046767E">
        <w:rPr>
          <w:rFonts w:ascii="Verdana" w:hAnsi="Verdana"/>
          <w:b/>
          <w:sz w:val="18"/>
          <w:szCs w:val="18"/>
        </w:rPr>
        <w:t xml:space="preserve">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0540B0" w:rsidRDefault="000540B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 w:rsidR="0070295D">
        <w:rPr>
          <w:rFonts w:ascii="Verdana" w:hAnsi="Verdana"/>
          <w:b/>
          <w:sz w:val="16"/>
          <w:szCs w:val="16"/>
        </w:rPr>
        <w:t>….</w:t>
      </w:r>
      <w:proofErr w:type="gramEnd"/>
      <w:r w:rsidR="00856AC2">
        <w:rPr>
          <w:rFonts w:ascii="Verdana" w:hAnsi="Verdana"/>
          <w:b/>
          <w:sz w:val="16"/>
          <w:szCs w:val="16"/>
        </w:rPr>
        <w:t>/…./</w:t>
      </w:r>
      <w:r w:rsidR="00DE743A">
        <w:rPr>
          <w:rFonts w:ascii="Verdana" w:hAnsi="Verdana"/>
          <w:b/>
          <w:sz w:val="16"/>
          <w:szCs w:val="16"/>
        </w:rPr>
        <w:t>2016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  <w:p w:rsidR="00DE743A" w:rsidRPr="002E24A1" w:rsidRDefault="00DE743A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F237BE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37BE" w:rsidRPr="00410A74" w:rsidRDefault="00F237BE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237BE" w:rsidRPr="009818D6" w:rsidRDefault="00131885" w:rsidP="00131885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 TUR"/>
                <w:color w:val="000000"/>
                <w:sz w:val="22"/>
                <w:szCs w:val="22"/>
              </w:rPr>
              <w:t>Elektronik Tebligat ve Kayıtlı Elektronik Posta Entegrasyon Çözümü</w:t>
            </w:r>
            <w:r>
              <w:rPr>
                <w:rFonts w:ascii="Calibri" w:hAnsi="Calibri" w:cs="Arial TUR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37BE" w:rsidRPr="00F26E66" w:rsidRDefault="00131885" w:rsidP="004848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37BE" w:rsidRPr="00F26E66" w:rsidRDefault="00F237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37BE" w:rsidRPr="00F26E66" w:rsidRDefault="00F237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37BE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F237BE" w:rsidRPr="00410A74" w:rsidRDefault="00F237BE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237BE" w:rsidRPr="009818D6" w:rsidRDefault="00F237BE" w:rsidP="004848E3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37BE" w:rsidRPr="00F26E66" w:rsidRDefault="00F237BE" w:rsidP="004848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37BE" w:rsidRPr="00F26E66" w:rsidRDefault="00F237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F237BE" w:rsidRPr="00F26E66" w:rsidRDefault="00F237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37BE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F237BE" w:rsidRPr="00410A74" w:rsidRDefault="00F237BE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237BE" w:rsidRPr="009818D6" w:rsidRDefault="00F237BE" w:rsidP="00DE743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37BE" w:rsidRPr="00F26E66" w:rsidRDefault="00F237BE" w:rsidP="004848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37BE" w:rsidRPr="00F26E66" w:rsidRDefault="00F237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F237BE" w:rsidRPr="00F26E66" w:rsidRDefault="00F237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237BE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F237BE" w:rsidRPr="00410A74" w:rsidRDefault="00F237BE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237BE" w:rsidRDefault="00F237BE" w:rsidP="004848E3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37BE" w:rsidRPr="00F26E66" w:rsidRDefault="00F237BE" w:rsidP="00DE743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37BE" w:rsidRPr="00F26E66" w:rsidRDefault="00F237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F237BE" w:rsidRPr="00F26E66" w:rsidRDefault="00F237BE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635D36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F237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635D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501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10-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2E24A1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0B67FE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 xml:space="preserve">( </w:t>
      </w:r>
      <w:proofErr w:type="gramStart"/>
      <w:r w:rsidR="00410A74" w:rsidRPr="00337F4E">
        <w:rPr>
          <w:rFonts w:ascii="Verdana" w:hAnsi="Verdana"/>
          <w:b/>
          <w:sz w:val="18"/>
          <w:szCs w:val="18"/>
        </w:rPr>
        <w:t>……</w:t>
      </w:r>
      <w:proofErr w:type="gramEnd"/>
      <w:r w:rsidR="00410A74" w:rsidRPr="00337F4E">
        <w:rPr>
          <w:rFonts w:ascii="Verdana" w:hAnsi="Verdana"/>
          <w:b/>
          <w:sz w:val="18"/>
          <w:szCs w:val="18"/>
        </w:rPr>
        <w:t xml:space="preserve">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</w:t>
      </w:r>
      <w:proofErr w:type="gramStart"/>
      <w:r w:rsidRPr="00337F4E">
        <w:rPr>
          <w:rFonts w:ascii="Verdana" w:hAnsi="Verdana"/>
          <w:sz w:val="18"/>
          <w:szCs w:val="18"/>
        </w:rPr>
        <w:t>………………..</w:t>
      </w:r>
      <w:proofErr w:type="gramEnd"/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proofErr w:type="gramStart"/>
      <w:r w:rsidRPr="00337F4E">
        <w:rPr>
          <w:rFonts w:ascii="Verdana" w:hAnsi="Verdana"/>
          <w:b/>
          <w:sz w:val="18"/>
          <w:szCs w:val="18"/>
        </w:rPr>
        <w:t>….</w:t>
      </w:r>
      <w:proofErr w:type="gramEnd"/>
      <w:r w:rsidRPr="00337F4E">
        <w:rPr>
          <w:rFonts w:ascii="Verdana" w:hAnsi="Verdana"/>
          <w:b/>
          <w:sz w:val="18"/>
          <w:szCs w:val="18"/>
        </w:rPr>
        <w:t>/…./20</w:t>
      </w:r>
      <w:r w:rsidR="008B29E1">
        <w:rPr>
          <w:rFonts w:ascii="Verdana" w:hAnsi="Verdana"/>
          <w:b/>
          <w:sz w:val="18"/>
          <w:szCs w:val="18"/>
        </w:rPr>
        <w:t>1</w:t>
      </w:r>
      <w:r w:rsidR="00DE743A">
        <w:rPr>
          <w:rFonts w:ascii="Verdana" w:hAnsi="Verdana"/>
          <w:b/>
          <w:sz w:val="18"/>
          <w:szCs w:val="18"/>
        </w:rPr>
        <w:t>6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proofErr w:type="gramStart"/>
      <w:r w:rsidR="0072446D">
        <w:rPr>
          <w:rFonts w:ascii="Verdana" w:hAnsi="Verdana"/>
          <w:b/>
          <w:sz w:val="18"/>
          <w:szCs w:val="18"/>
        </w:rPr>
        <w:t>…………….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takvim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</w:t>
      </w:r>
      <w:proofErr w:type="gramStart"/>
      <w:r w:rsidRPr="00337F4E">
        <w:rPr>
          <w:rFonts w:ascii="Verdana" w:hAnsi="Verdana"/>
          <w:sz w:val="18"/>
          <w:szCs w:val="18"/>
        </w:rPr>
        <w:t>…….</w:t>
      </w:r>
      <w:proofErr w:type="gramEnd"/>
      <w:r w:rsidRPr="00337F4E">
        <w:rPr>
          <w:rFonts w:ascii="Verdana" w:hAnsi="Verdana"/>
          <w:sz w:val="18"/>
          <w:szCs w:val="18"/>
        </w:rPr>
        <w:t xml:space="preserve">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D73FBC" w:rsidRPr="00F83333" w:rsidRDefault="008B29E1" w:rsidP="00D73FBC">
      <w:pPr>
        <w:spacing w:line="276" w:lineRule="auto"/>
        <w:rPr>
          <w:rFonts w:ascii="Verdana" w:hAnsi="Verdana"/>
          <w:b/>
          <w:sz w:val="18"/>
          <w:szCs w:val="18"/>
        </w:rPr>
        <w:sectPr w:rsidR="00D73FBC" w:rsidRPr="00F83333" w:rsidSect="00D73FBC">
          <w:pgSz w:w="11906" w:h="16838"/>
          <w:pgMar w:top="1134" w:right="1417" w:bottom="1079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p w:rsidR="00131885" w:rsidRPr="00BB3ACD" w:rsidRDefault="00131885" w:rsidP="00131885">
      <w:pPr>
        <w:jc w:val="center"/>
        <w:rPr>
          <w:b/>
        </w:rPr>
      </w:pPr>
      <w:r w:rsidRPr="00DC052F">
        <w:rPr>
          <w:b/>
        </w:rPr>
        <w:lastRenderedPageBreak/>
        <w:t xml:space="preserve">T.C. </w:t>
      </w:r>
      <w:r>
        <w:rPr>
          <w:b/>
        </w:rPr>
        <w:t>ULUDAĞ ÜNİVERSİTESİ</w:t>
      </w:r>
    </w:p>
    <w:p w:rsidR="00131885" w:rsidRPr="00BB3ACD" w:rsidRDefault="00131885" w:rsidP="00131885">
      <w:pPr>
        <w:jc w:val="center"/>
        <w:rPr>
          <w:b/>
        </w:rPr>
      </w:pPr>
      <w:r w:rsidRPr="00BB3ACD">
        <w:rPr>
          <w:b/>
        </w:rPr>
        <w:t xml:space="preserve">ELEKTRONİK TEBLİGAT ve KAYITLI ELEKTRONİK POSTA ENTEGRASYON </w:t>
      </w:r>
      <w:r>
        <w:rPr>
          <w:b/>
        </w:rPr>
        <w:t xml:space="preserve">ÇÖZÜMÜ </w:t>
      </w:r>
      <w:r w:rsidRPr="00BB3ACD">
        <w:rPr>
          <w:b/>
        </w:rPr>
        <w:t>ALIMI</w:t>
      </w:r>
    </w:p>
    <w:p w:rsidR="00131885" w:rsidRPr="00BB3ACD" w:rsidRDefault="00131885" w:rsidP="00131885">
      <w:pPr>
        <w:jc w:val="center"/>
        <w:rPr>
          <w:b/>
        </w:rPr>
      </w:pPr>
      <w:r w:rsidRPr="00BB3ACD">
        <w:rPr>
          <w:b/>
        </w:rPr>
        <w:t>TEKNİK ŞARTNAMESİ</w:t>
      </w:r>
    </w:p>
    <w:p w:rsidR="00131885" w:rsidRPr="00330496" w:rsidRDefault="00131885" w:rsidP="00131885">
      <w:pPr>
        <w:rPr>
          <w:b/>
        </w:rPr>
      </w:pPr>
      <w:r w:rsidRPr="00330496">
        <w:rPr>
          <w:b/>
        </w:rPr>
        <w:t xml:space="preserve">Madde 1-İşin </w:t>
      </w:r>
      <w:r>
        <w:rPr>
          <w:b/>
        </w:rPr>
        <w:t>Tanımı</w:t>
      </w:r>
    </w:p>
    <w:p w:rsidR="00131885" w:rsidRPr="00330496" w:rsidRDefault="00131885" w:rsidP="00131885">
      <w:pPr>
        <w:jc w:val="both"/>
      </w:pPr>
      <w:r w:rsidRPr="00330496">
        <w:t xml:space="preserve">İşbu şartname, </w:t>
      </w:r>
      <w:r>
        <w:t xml:space="preserve">T.C. ULUDAĞ </w:t>
      </w:r>
      <w:proofErr w:type="spellStart"/>
      <w:r>
        <w:t>ÜNİVERSİTESİ’nin</w:t>
      </w:r>
      <w:proofErr w:type="spellEnd"/>
      <w:r>
        <w:t xml:space="preserve"> Elektronik Tebligata uygun temel ve katma değerli Kayıtlı Elektronik P</w:t>
      </w:r>
      <w:r w:rsidRPr="00330496">
        <w:t xml:space="preserve">osta </w:t>
      </w:r>
      <w:r>
        <w:t xml:space="preserve">(KEP) hizmetleri </w:t>
      </w:r>
      <w:proofErr w:type="gramStart"/>
      <w:r>
        <w:t>ile,</w:t>
      </w:r>
      <w:proofErr w:type="gramEnd"/>
      <w:r w:rsidRPr="00330496">
        <w:t xml:space="preserve"> </w:t>
      </w:r>
      <w:r>
        <w:t xml:space="preserve"> Kurumsal KEP Entegrasyonu için gerekli Çözümlerin Kurum’umuz tarafından temini</w:t>
      </w:r>
      <w:r w:rsidRPr="00330496">
        <w:t xml:space="preserve"> için </w:t>
      </w:r>
      <w:r>
        <w:t>KEP ve E-Tebligat mevzuatına</w:t>
      </w:r>
      <w:r w:rsidRPr="00330496">
        <w:t xml:space="preserve"> uygun teknik </w:t>
      </w:r>
      <w:r>
        <w:t>gereksinimleri</w:t>
      </w:r>
      <w:r w:rsidRPr="00330496">
        <w:t xml:space="preserve">, </w:t>
      </w:r>
      <w:r>
        <w:t xml:space="preserve">temin edilecek </w:t>
      </w:r>
      <w:r w:rsidRPr="00330496">
        <w:t>ürün ve hizmet kapsamını ve ödeme hususlarını tanımlamaktadır.</w:t>
      </w:r>
    </w:p>
    <w:p w:rsidR="00131885" w:rsidRPr="001E2EB4" w:rsidRDefault="00131885" w:rsidP="00131885">
      <w:pPr>
        <w:jc w:val="both"/>
        <w:rPr>
          <w:b/>
        </w:rPr>
      </w:pPr>
      <w:r w:rsidRPr="001E2EB4">
        <w:rPr>
          <w:b/>
        </w:rPr>
        <w:t>Madde 2-Tanımlar</w:t>
      </w:r>
    </w:p>
    <w:p w:rsidR="00131885" w:rsidRPr="001E2EB4" w:rsidRDefault="00131885" w:rsidP="00131885">
      <w:pPr>
        <w:jc w:val="both"/>
      </w:pPr>
      <w:r w:rsidRPr="001E2EB4">
        <w:rPr>
          <w:b/>
        </w:rPr>
        <w:t>İDARE:</w:t>
      </w:r>
      <w:r w:rsidRPr="001E2EB4">
        <w:t xml:space="preserve"> </w:t>
      </w:r>
      <w:r>
        <w:t>T.C. ULUDAĞ ÜNİVERSİTESİ</w:t>
      </w:r>
      <w:r w:rsidRPr="001E2EB4">
        <w:t>,</w:t>
      </w:r>
    </w:p>
    <w:p w:rsidR="00131885" w:rsidRPr="001E2EB4" w:rsidRDefault="00131885" w:rsidP="00131885">
      <w:pPr>
        <w:jc w:val="both"/>
      </w:pPr>
      <w:r w:rsidRPr="001E2EB4">
        <w:rPr>
          <w:b/>
        </w:rPr>
        <w:t>YÜKLENİCİ:</w:t>
      </w:r>
      <w:r w:rsidRPr="001E2EB4">
        <w:t xml:space="preserve"> İşbu doküman esaslarına göre teklif veren BTK tarafından yetkilendirilmiş Kayıtlı Elektronik Posta Hizmet Sağlayıcısı şirketi,</w:t>
      </w:r>
    </w:p>
    <w:p w:rsidR="00131885" w:rsidRPr="001E2EB4" w:rsidRDefault="00131885" w:rsidP="00131885">
      <w:pPr>
        <w:jc w:val="both"/>
      </w:pPr>
      <w:r w:rsidRPr="001E2EB4">
        <w:rPr>
          <w:b/>
        </w:rPr>
        <w:t>BTK:</w:t>
      </w:r>
      <w:r w:rsidRPr="001E2EB4">
        <w:t xml:space="preserve"> Bilgi Teknolojileri ve İletişim Kurumu’nu,</w:t>
      </w:r>
    </w:p>
    <w:p w:rsidR="00131885" w:rsidRPr="001E2EB4" w:rsidRDefault="00131885" w:rsidP="00131885">
      <w:pPr>
        <w:jc w:val="both"/>
      </w:pPr>
      <w:r w:rsidRPr="001E2EB4">
        <w:rPr>
          <w:b/>
        </w:rPr>
        <w:t>KEP:</w:t>
      </w:r>
      <w:r w:rsidRPr="001E2EB4">
        <w:t xml:space="preserve"> Kayıtlı Elektronik Postayı,</w:t>
      </w:r>
    </w:p>
    <w:p w:rsidR="00131885" w:rsidRPr="001E2EB4" w:rsidRDefault="00131885" w:rsidP="00131885">
      <w:pPr>
        <w:jc w:val="both"/>
      </w:pPr>
      <w:r w:rsidRPr="001E2EB4">
        <w:rPr>
          <w:b/>
        </w:rPr>
        <w:t>KEPHS:</w:t>
      </w:r>
      <w:r w:rsidRPr="001E2EB4">
        <w:t xml:space="preserve"> Kayıtlı Elektronik Posta Hizmet Sağlayıcısını,</w:t>
      </w:r>
    </w:p>
    <w:p w:rsidR="00131885" w:rsidRPr="001E2EB4" w:rsidRDefault="00131885" w:rsidP="00131885">
      <w:pPr>
        <w:jc w:val="both"/>
      </w:pPr>
      <w:r w:rsidRPr="001E2EB4">
        <w:rPr>
          <w:b/>
        </w:rPr>
        <w:t>KEP HESABI:</w:t>
      </w:r>
      <w:r w:rsidRPr="001E2EB4">
        <w:t xml:space="preserve"> </w:t>
      </w:r>
      <w:r>
        <w:t>KEP Mevzuatına uygun KEP</w:t>
      </w:r>
      <w:r w:rsidRPr="001E2EB4">
        <w:t xml:space="preserve"> </w:t>
      </w:r>
      <w:r>
        <w:t>İ</w:t>
      </w:r>
      <w:r w:rsidRPr="001E2EB4">
        <w:t>leti</w:t>
      </w:r>
      <w:r>
        <w:t>si</w:t>
      </w:r>
      <w:r w:rsidRPr="001E2EB4">
        <w:t xml:space="preserve"> gönderme ve alma ile KEP </w:t>
      </w:r>
      <w:r>
        <w:t>İ</w:t>
      </w:r>
      <w:r w:rsidRPr="001E2EB4">
        <w:t>letisi alma yeteneğine sahip KEP sisteminde oluşturulan elektronik posta hesabını,</w:t>
      </w:r>
    </w:p>
    <w:p w:rsidR="00131885" w:rsidRPr="001E2EB4" w:rsidRDefault="00131885" w:rsidP="00131885">
      <w:pPr>
        <w:jc w:val="both"/>
      </w:pPr>
      <w:r w:rsidRPr="001E2EB4">
        <w:rPr>
          <w:b/>
        </w:rPr>
        <w:t>KEP Sistemi:</w:t>
      </w:r>
      <w:r w:rsidRPr="001E2EB4">
        <w:t xml:space="preserve"> Elektronik iletişim platformları aracılığıyla gerçekleşen, KEP iletilerinin tüm süreçlerine ilişkin olarak KEP </w:t>
      </w:r>
      <w:r>
        <w:t>iletiminin gerçekleştirilmesi, ilgili delillerin ve sistem kayıtlarının oluşturulması</w:t>
      </w:r>
      <w:r w:rsidRPr="001E2EB4">
        <w:t>, KEP hesabı, KEP rehberi ve arşiv hizmetleri</w:t>
      </w:r>
      <w:r>
        <w:t>nin</w:t>
      </w:r>
      <w:r w:rsidRPr="001E2EB4">
        <w:t xml:space="preserve"> verilmesi gibi işlevlere sahip sistemi,</w:t>
      </w:r>
    </w:p>
    <w:p w:rsidR="00131885" w:rsidRPr="001E2EB4" w:rsidRDefault="00131885" w:rsidP="00131885">
      <w:pPr>
        <w:jc w:val="both"/>
      </w:pPr>
      <w:r w:rsidRPr="001E2EB4">
        <w:rPr>
          <w:b/>
        </w:rPr>
        <w:t>KEP Rehberi:</w:t>
      </w:r>
      <w:r w:rsidRPr="001E2EB4">
        <w:t xml:space="preserve"> KEP Hesabı bilgilerinin doğruluğunun ve güncelliğinin sorgulanabilmesi amacıyla işletilen </w:t>
      </w:r>
      <w:r>
        <w:t>bireysel ve kurumsal KEP hesap bilgilerinin tutulduğu sistemi</w:t>
      </w:r>
      <w:r w:rsidRPr="001E2EB4">
        <w:t>,</w:t>
      </w:r>
    </w:p>
    <w:p w:rsidR="00131885" w:rsidRDefault="00131885" w:rsidP="00131885">
      <w:pPr>
        <w:jc w:val="both"/>
        <w:rPr>
          <w:b/>
        </w:rPr>
      </w:pPr>
      <w:r>
        <w:rPr>
          <w:b/>
        </w:rPr>
        <w:t xml:space="preserve">KEP İletisi: </w:t>
      </w:r>
      <w:r w:rsidRPr="00B427B0">
        <w:t xml:space="preserve">Gönderici tarafından oluşturulan ve Göndericinin Nitelikli Elektronik Sertifikası ile </w:t>
      </w:r>
      <w:r>
        <w:t xml:space="preserve">imzalanan ve Alıcı’ya teslim edilmek üzere </w:t>
      </w:r>
      <w:proofErr w:type="spellStart"/>
      <w:r>
        <w:t>KEPHS’ye</w:t>
      </w:r>
      <w:proofErr w:type="spellEnd"/>
      <w:r>
        <w:t xml:space="preserve"> teslim edilen elektronik iletiyi,</w:t>
      </w:r>
    </w:p>
    <w:p w:rsidR="00131885" w:rsidRPr="001E2EB4" w:rsidRDefault="00131885" w:rsidP="00131885">
      <w:pPr>
        <w:jc w:val="both"/>
      </w:pPr>
      <w:r w:rsidRPr="001E2EB4">
        <w:rPr>
          <w:b/>
        </w:rPr>
        <w:t>KEP Delili:</w:t>
      </w:r>
      <w:r w:rsidRPr="001E2EB4">
        <w:t xml:space="preserve"> Belirli bir </w:t>
      </w:r>
      <w:r>
        <w:t xml:space="preserve">KEP </w:t>
      </w:r>
      <w:r w:rsidRPr="001E2EB4">
        <w:t>işlemin</w:t>
      </w:r>
      <w:r>
        <w:t>in</w:t>
      </w:r>
      <w:r w:rsidRPr="001E2EB4">
        <w:t xml:space="preserve"> belirli bir zamanda meydana geldiğini gösteren, KEP sisteminde üretilen ve </w:t>
      </w:r>
      <w:proofErr w:type="spellStart"/>
      <w:r w:rsidRPr="001E2EB4">
        <w:t>KEPHS’nin</w:t>
      </w:r>
      <w:proofErr w:type="spellEnd"/>
      <w:r w:rsidRPr="001E2EB4">
        <w:t xml:space="preserve"> işlem sertifikası ile imzalanmış veriyi,</w:t>
      </w:r>
    </w:p>
    <w:p w:rsidR="00131885" w:rsidRPr="001E2EB4" w:rsidRDefault="00131885" w:rsidP="00131885">
      <w:pPr>
        <w:jc w:val="both"/>
      </w:pPr>
      <w:r w:rsidRPr="001E2EB4">
        <w:rPr>
          <w:b/>
        </w:rPr>
        <w:t>ESHS:</w:t>
      </w:r>
      <w:r w:rsidRPr="001E2EB4">
        <w:t xml:space="preserve"> Elektronik Sertifika Hizmet Sağlayıcısını,</w:t>
      </w:r>
    </w:p>
    <w:p w:rsidR="00131885" w:rsidRDefault="00131885" w:rsidP="00131885">
      <w:pPr>
        <w:jc w:val="both"/>
      </w:pPr>
      <w:r w:rsidRPr="001E2EB4">
        <w:rPr>
          <w:b/>
        </w:rPr>
        <w:t>NES:</w:t>
      </w:r>
      <w:r w:rsidRPr="001E2EB4">
        <w:t xml:space="preserve"> Nitelikli Elektronik Sertifikayı,</w:t>
      </w:r>
    </w:p>
    <w:p w:rsidR="00131885" w:rsidRPr="001E2EB4" w:rsidRDefault="00131885" w:rsidP="00131885">
      <w:pPr>
        <w:jc w:val="both"/>
      </w:pPr>
      <w:r w:rsidRPr="00F02FA1">
        <w:rPr>
          <w:b/>
        </w:rPr>
        <w:t>GB:</w:t>
      </w:r>
      <w:r>
        <w:t xml:space="preserve"> </w:t>
      </w:r>
      <w:proofErr w:type="spellStart"/>
      <w:r>
        <w:t>Giga</w:t>
      </w:r>
      <w:proofErr w:type="spellEnd"/>
      <w:r>
        <w:t xml:space="preserve"> Baytı</w:t>
      </w:r>
    </w:p>
    <w:p w:rsidR="00131885" w:rsidRDefault="00131885" w:rsidP="00131885">
      <w:pPr>
        <w:jc w:val="both"/>
      </w:pPr>
      <w:r w:rsidRPr="00B427B0">
        <w:rPr>
          <w:b/>
        </w:rPr>
        <w:t>Elektronik İmza:</w:t>
      </w:r>
      <w:r w:rsidRPr="001E2EB4">
        <w:t xml:space="preserve"> 5070 sayılı Elektronik İmza Kanunu’nda yer alan şekliyle başka bir elektronik veriye eklenen veya elektronik veriyle mantıksal bağlantısı bulunan ve kimlik doğrulama amacıyla kullanılan elektronik veriyi,</w:t>
      </w:r>
    </w:p>
    <w:p w:rsidR="00131885" w:rsidRPr="00330496" w:rsidRDefault="00131885" w:rsidP="00131885">
      <w:pPr>
        <w:jc w:val="both"/>
      </w:pPr>
      <w:r w:rsidRPr="00B00811">
        <w:rPr>
          <w:b/>
        </w:rPr>
        <w:t>EBYS:</w:t>
      </w:r>
      <w:r>
        <w:t xml:space="preserve"> Elektronik Belge Yönetim Sistemini ifade eder.</w:t>
      </w:r>
    </w:p>
    <w:p w:rsidR="00131885" w:rsidRPr="00330496" w:rsidRDefault="00131885" w:rsidP="00131885">
      <w:pPr>
        <w:jc w:val="both"/>
        <w:rPr>
          <w:b/>
        </w:rPr>
      </w:pPr>
      <w:r w:rsidRPr="00330496">
        <w:rPr>
          <w:b/>
        </w:rPr>
        <w:t>Madde 3- Hizmetin Genel Özellikleri</w:t>
      </w:r>
    </w:p>
    <w:p w:rsidR="00131885" w:rsidRPr="00330496" w:rsidRDefault="00131885" w:rsidP="00131885">
      <w:pPr>
        <w:jc w:val="both"/>
      </w:pPr>
      <w:r w:rsidRPr="00330496">
        <w:tab/>
      </w:r>
      <w:proofErr w:type="gramStart"/>
      <w:r w:rsidRPr="00330496">
        <w:t>3.1. YÜKLENİCİ, Elektronik İmza, işlem sertifikası ve özetleme algoritmalarına ilişkin olarak 6.1.2005 tarihli ve 25692 sayılı Resmi Gazete ‘de yayınlanan “Elektronik İmza ile İlgili Süreçlere ve Teknik Kriterlere İlişkin Tebliğ’in 6’ncı</w:t>
      </w:r>
      <w:r>
        <w:t xml:space="preserve"> </w:t>
      </w:r>
      <w:r w:rsidRPr="00330496">
        <w:t>maddesinin (b) ve</w:t>
      </w:r>
      <w:r>
        <w:t xml:space="preserve"> (c) bendinde yer alan şartlara, </w:t>
      </w:r>
      <w:r w:rsidRPr="00330496">
        <w:t>ETSI TS 102 640 standardına</w:t>
      </w:r>
      <w:r>
        <w:t>,</w:t>
      </w:r>
      <w:r w:rsidRPr="00330496">
        <w:t xml:space="preserve"> BTK tarafından belirlenmiş olan KEP mevzuatının tamamına</w:t>
      </w:r>
      <w:r>
        <w:t>, 19.1.2013 tarihli E-Tebligat Yönetmeliği’ne</w:t>
      </w:r>
      <w:r w:rsidRPr="00330496">
        <w:t xml:space="preserve"> </w:t>
      </w:r>
      <w:r>
        <w:t xml:space="preserve">ve KEP Sistemi içinde gerçekleşecek iletişimin tabi olabileceği diğer mevzuatlara </w:t>
      </w:r>
      <w:r w:rsidRPr="00330496">
        <w:t>uygun olarak</w:t>
      </w:r>
      <w:r>
        <w:t xml:space="preserve"> hizmet verecektir.</w:t>
      </w:r>
      <w:r w:rsidRPr="005C27B9">
        <w:t xml:space="preserve"> </w:t>
      </w:r>
      <w:proofErr w:type="gramEnd"/>
      <w:r>
        <w:t xml:space="preserve">Yüklenici hizmet süresi boyunca </w:t>
      </w:r>
      <w:r w:rsidRPr="00330496">
        <w:t xml:space="preserve">ilgili mevzuatlarda olabilecek değişiklikleri ücretsiz olarak sistemine uyarlayacak ve İDARE’ </w:t>
      </w:r>
      <w:proofErr w:type="spellStart"/>
      <w:r w:rsidRPr="00330496">
        <w:t>nin</w:t>
      </w:r>
      <w:proofErr w:type="spellEnd"/>
      <w:r w:rsidRPr="00330496">
        <w:t xml:space="preserve"> kullanımına sunacaktır.</w:t>
      </w:r>
    </w:p>
    <w:p w:rsidR="00131885" w:rsidRPr="00330496" w:rsidRDefault="00131885" w:rsidP="00131885">
      <w:pPr>
        <w:jc w:val="both"/>
      </w:pPr>
    </w:p>
    <w:p w:rsidR="00131885" w:rsidRPr="00330496" w:rsidRDefault="00131885" w:rsidP="00131885">
      <w:pPr>
        <w:jc w:val="both"/>
      </w:pPr>
      <w:r>
        <w:tab/>
        <w:t>3.2</w:t>
      </w:r>
      <w:r w:rsidRPr="00330496">
        <w:t>. YÜKLENİCİ, teklif tarihi itibariyle geçerli BTK tarafından verilmiş Kayıtlı Elektronik Posta Hizmet Sağlayıcı (KEPHS) yetki belgesine sahip olacaktır.</w:t>
      </w:r>
    </w:p>
    <w:p w:rsidR="00131885" w:rsidRPr="00330496" w:rsidRDefault="00131885" w:rsidP="00131885">
      <w:pPr>
        <w:jc w:val="both"/>
      </w:pPr>
    </w:p>
    <w:p w:rsidR="00131885" w:rsidRPr="00330496" w:rsidRDefault="00131885" w:rsidP="00131885">
      <w:pPr>
        <w:jc w:val="both"/>
      </w:pPr>
      <w:r>
        <w:lastRenderedPageBreak/>
        <w:tab/>
        <w:t>3.3</w:t>
      </w:r>
      <w:r w:rsidRPr="00330496">
        <w:t>. YÜKLENİCİ ve görevlendirilecek personel</w:t>
      </w:r>
      <w:r>
        <w:t>i</w:t>
      </w:r>
      <w:r w:rsidRPr="00330496">
        <w:t xml:space="preserve">, verilecek hizmet kapsamında, İDARE’ </w:t>
      </w:r>
      <w:proofErr w:type="spellStart"/>
      <w:r w:rsidRPr="00330496">
        <w:t>nin</w:t>
      </w:r>
      <w:proofErr w:type="spellEnd"/>
      <w:r w:rsidRPr="00330496">
        <w:t xml:space="preserve"> özel ve gizli bilgilerinin korunması için karşılıklı güven ve iyi niyet anlayışı içinde kendisine verilmiş olan </w:t>
      </w:r>
      <w:r>
        <w:t xml:space="preserve">ve çalışma ve hizmet süreleri boyunca verilebilecek olan </w:t>
      </w:r>
      <w:r w:rsidRPr="00330496">
        <w:t>gizli bilgi ve tamamlayıcı unsurları açıklamamayı, gizli tutmayı kabul ve taahhüt edecektir. Tarafların birbirlerine ait ticari sırları ve gizli bilgil</w:t>
      </w:r>
      <w:r>
        <w:t>eri karşı tarafın yazılı onayı</w:t>
      </w:r>
      <w:r w:rsidRPr="00330496">
        <w:t xml:space="preserve"> al</w:t>
      </w:r>
      <w:r>
        <w:t>ın</w:t>
      </w:r>
      <w:r w:rsidRPr="00330496">
        <w:t xml:space="preserve">madıkça </w:t>
      </w:r>
      <w:r>
        <w:t xml:space="preserve">hiç bir surette 3. Taraflara </w:t>
      </w:r>
      <w:r w:rsidRPr="00330496">
        <w:t>açıklamayacaktır.</w:t>
      </w:r>
    </w:p>
    <w:p w:rsidR="00131885" w:rsidRPr="00330496" w:rsidRDefault="00131885" w:rsidP="00131885">
      <w:pPr>
        <w:jc w:val="both"/>
      </w:pPr>
    </w:p>
    <w:p w:rsidR="00131885" w:rsidRDefault="00131885" w:rsidP="00131885">
      <w:pPr>
        <w:jc w:val="both"/>
      </w:pPr>
      <w:r>
        <w:tab/>
        <w:t>3.4</w:t>
      </w:r>
      <w:r w:rsidRPr="00014E2F">
        <w:t>. YÜKLENİCİ, KEP iletilerini ve KEP delillerini ilgili KEP hesabına anlaşılabilir ve oku</w:t>
      </w:r>
      <w:r w:rsidRPr="00866EF0">
        <w:t>nabilir şekilde iletecektir.</w:t>
      </w:r>
      <w:r>
        <w:t xml:space="preserve"> KEP </w:t>
      </w:r>
      <w:r w:rsidRPr="00C51A76">
        <w:t xml:space="preserve">Sisteminde kullanıcı </w:t>
      </w:r>
      <w:proofErr w:type="spellStart"/>
      <w:r w:rsidRPr="00C51A76">
        <w:t>arayüzlerinde</w:t>
      </w:r>
      <w:proofErr w:type="spellEnd"/>
      <w:r w:rsidRPr="00C51A76">
        <w:t xml:space="preserve"> KEP iletileri ve delilleri hem özgün halleriyle (EML formatında ileti dosyaları ve XML formatında delil dosyaları) hem de kullanıcının kolay bir şekilde anlayacağı şekilde görüntülenebilecektir.</w:t>
      </w:r>
      <w:r>
        <w:t xml:space="preserve"> KEP iletilerinin </w:t>
      </w:r>
      <w:proofErr w:type="spellStart"/>
      <w:r>
        <w:t>İDARE’nin</w:t>
      </w:r>
      <w:proofErr w:type="spellEnd"/>
      <w:r>
        <w:t xml:space="preserve"> bilişim sistemleri tarafından işlenebilmesi için gerekli olacak yazılım kütüphaneleri Yüklenici tarafından sağlanacaktır. </w:t>
      </w:r>
      <w:proofErr w:type="spellStart"/>
      <w:r>
        <w:t>İDARE’nin</w:t>
      </w:r>
      <w:proofErr w:type="spellEnd"/>
      <w:r>
        <w:t xml:space="preserve"> ek gereksinimlerini karşılamak üzere yapılması gerekebilecek ilaveler Yüklenici tarafından sağlanacaktır.</w:t>
      </w:r>
    </w:p>
    <w:p w:rsidR="00131885" w:rsidRPr="00866EF0" w:rsidRDefault="00131885" w:rsidP="00131885">
      <w:pPr>
        <w:jc w:val="both"/>
      </w:pPr>
    </w:p>
    <w:p w:rsidR="00131885" w:rsidRDefault="00131885" w:rsidP="00131885">
      <w:pPr>
        <w:jc w:val="both"/>
      </w:pPr>
      <w:r>
        <w:tab/>
        <w:t>3.5</w:t>
      </w:r>
      <w:r w:rsidRPr="00223EC3">
        <w:t>. İDARE, teklifin onaylanmasın</w:t>
      </w:r>
      <w:r>
        <w:t>ı</w:t>
      </w:r>
      <w:r w:rsidRPr="00223EC3">
        <w:t xml:space="preserve"> müteakip</w:t>
      </w:r>
      <w:r>
        <w:t xml:space="preserve"> KEP Hesaplarının</w:t>
      </w:r>
      <w:r w:rsidRPr="00330496">
        <w:t xml:space="preserve"> </w:t>
      </w:r>
      <w:r>
        <w:t xml:space="preserve">tanımlanması </w:t>
      </w:r>
      <w:r w:rsidRPr="00330496">
        <w:t xml:space="preserve">amacıyla </w:t>
      </w:r>
      <w:r>
        <w:t xml:space="preserve">Kurum bilgileri ile birlikte </w:t>
      </w:r>
      <w:r w:rsidRPr="00330496">
        <w:t xml:space="preserve">yetkilendireceği </w:t>
      </w:r>
      <w:r>
        <w:t xml:space="preserve">idari ve teknik yetkililerinin iletişim bilgilerini ve KEP işlem yetkililerinin yetkilendirme için gerekli özlük </w:t>
      </w:r>
      <w:r w:rsidRPr="00330496">
        <w:t>bilgilerini YÜKLENİCİ’ ye bildirecektir.</w:t>
      </w:r>
    </w:p>
    <w:p w:rsidR="00131885" w:rsidRPr="00330496" w:rsidRDefault="00131885" w:rsidP="00131885">
      <w:pPr>
        <w:jc w:val="both"/>
      </w:pPr>
    </w:p>
    <w:p w:rsidR="00131885" w:rsidRDefault="00131885" w:rsidP="00131885">
      <w:pPr>
        <w:jc w:val="both"/>
      </w:pPr>
      <w:r w:rsidRPr="00330496">
        <w:rPr>
          <w:color w:val="FF0000"/>
        </w:rPr>
        <w:tab/>
      </w:r>
      <w:r>
        <w:t>3.6</w:t>
      </w:r>
      <w:r w:rsidRPr="00330496">
        <w:t>. KEP gönderisinde, Kime (TO) ve Bilgi (cc) bölümlerinde yer alan her bir e-posta adresi 1 (bir) gönderi sayılacaktır. İ</w:t>
      </w:r>
      <w:r>
        <w:t>DARE</w:t>
      </w:r>
      <w:r w:rsidRPr="00330496">
        <w:t xml:space="preserve"> tarafından ihtiyaç duyulması halin</w:t>
      </w:r>
      <w:r>
        <w:t>de; imzalanacak kullanıcı sözleşmesi</w:t>
      </w:r>
      <w:r w:rsidRPr="00330496">
        <w:t xml:space="preserve"> süresince, ilave KEP hesapları </w:t>
      </w:r>
      <w:r>
        <w:t xml:space="preserve">ve/veya gönderi paketleri ile ilave hizmetler temin edilebilecektir. </w:t>
      </w:r>
      <w:r w:rsidRPr="00330496">
        <w:t xml:space="preserve">İlave KEP hesabı </w:t>
      </w:r>
      <w:r>
        <w:t xml:space="preserve">ve/veya gönderi paketleri ile hizmetlerin temini veya kapmasının değiştirilmesi </w:t>
      </w:r>
      <w:r w:rsidRPr="00330496">
        <w:t xml:space="preserve">maksadıyla yetkili talep makamı sadece İDARE olacaktır. Bu maksatla yapılacak talepler </w:t>
      </w:r>
      <w:proofErr w:type="spellStart"/>
      <w:r>
        <w:t>YÜKLENİCİ’ye</w:t>
      </w:r>
      <w:proofErr w:type="spellEnd"/>
      <w:r w:rsidRPr="00330496">
        <w:t xml:space="preserve"> yazılı olarak yapılacaktır.</w:t>
      </w:r>
      <w:r>
        <w:t xml:space="preserve">  </w:t>
      </w:r>
      <w:proofErr w:type="spellStart"/>
      <w:r>
        <w:t>İDARE’nin</w:t>
      </w:r>
      <w:proofErr w:type="spellEnd"/>
      <w:r>
        <w:t xml:space="preserve"> çeşitli amaçlarla farklı </w:t>
      </w:r>
      <w:proofErr w:type="spellStart"/>
      <w:r>
        <w:t>KEPHS’lerden</w:t>
      </w:r>
      <w:proofErr w:type="spellEnd"/>
      <w:r>
        <w:t xml:space="preserve"> temin edebileceği elektronik tebligata uygun KEP adresleri de Yüklenici tarafından entegrasyon kapsamında İDARE sistemlerine entegre edilecektir.</w:t>
      </w:r>
    </w:p>
    <w:p w:rsidR="00131885" w:rsidRPr="00330496" w:rsidRDefault="00131885" w:rsidP="00131885">
      <w:pPr>
        <w:jc w:val="both"/>
      </w:pPr>
    </w:p>
    <w:p w:rsidR="00131885" w:rsidRPr="00330496" w:rsidRDefault="00131885" w:rsidP="00131885">
      <w:pPr>
        <w:jc w:val="both"/>
        <w:rPr>
          <w:b/>
        </w:rPr>
      </w:pPr>
      <w:r w:rsidRPr="00330496">
        <w:rPr>
          <w:b/>
        </w:rPr>
        <w:t>Madde 4- Hizmetlerin Kapsamı</w:t>
      </w:r>
    </w:p>
    <w:p w:rsidR="00131885" w:rsidRPr="00330496" w:rsidRDefault="00131885" w:rsidP="00131885">
      <w:pPr>
        <w:ind w:firstLine="708"/>
        <w:jc w:val="both"/>
      </w:pPr>
      <w:r w:rsidRPr="00330496">
        <w:t>4.</w:t>
      </w:r>
      <w:r>
        <w:t>1</w:t>
      </w:r>
      <w:r w:rsidRPr="00330496">
        <w:t>. YÜKLENİCİ, KEP gönderimi ve alımı hizmetinin kesi</w:t>
      </w:r>
      <w:r>
        <w:t>ntiye uğraması</w:t>
      </w:r>
      <w:r w:rsidRPr="00330496">
        <w:t xml:space="preserve"> durumunda en geç </w:t>
      </w:r>
      <w:r>
        <w:t>4 saat içerisinde müdahale edecek, en geç 1(bir) iş günü içinde de</w:t>
      </w:r>
      <w:r w:rsidRPr="00330496">
        <w:t xml:space="preserve"> arıza</w:t>
      </w:r>
      <w:r>
        <w:t>yı giderip</w:t>
      </w:r>
      <w:r w:rsidRPr="00330496">
        <w:t xml:space="preserve"> </w:t>
      </w:r>
      <w:proofErr w:type="spellStart"/>
      <w:r>
        <w:t>İDARE’ye</w:t>
      </w:r>
      <w:proofErr w:type="spellEnd"/>
      <w:r>
        <w:t xml:space="preserve"> Sözleşmede tanımlanacak yöntem çerçevesinde bilgi verecektir. Diğer </w:t>
      </w:r>
      <w:proofErr w:type="gramStart"/>
      <w:r>
        <w:t>durumlarda  gerektiğinde</w:t>
      </w:r>
      <w:proofErr w:type="gramEnd"/>
      <w:r>
        <w:t xml:space="preserve"> 5.7 maddesine ve maddedeki tabloda belirtilen sürelere göre müdahale edecektir.</w:t>
      </w:r>
    </w:p>
    <w:p w:rsidR="00131885" w:rsidRDefault="00131885" w:rsidP="00131885">
      <w:pPr>
        <w:jc w:val="both"/>
      </w:pPr>
    </w:p>
    <w:p w:rsidR="00131885" w:rsidRDefault="00131885" w:rsidP="00131885">
      <w:pPr>
        <w:ind w:firstLine="708"/>
        <w:jc w:val="both"/>
      </w:pPr>
      <w:r>
        <w:t xml:space="preserve">4.3 YÜKLENİCİ, </w:t>
      </w:r>
      <w:proofErr w:type="spellStart"/>
      <w:r>
        <w:t>İDARE’nin</w:t>
      </w:r>
      <w:proofErr w:type="spellEnd"/>
      <w:r>
        <w:t xml:space="preserve"> yetkililerinin veya ilgili sistemlerinin E-Tebligata uygun KEP Hesaplarına güvenli </w:t>
      </w:r>
      <w:r w:rsidRPr="00330496">
        <w:t xml:space="preserve">bir web ara yüzü </w:t>
      </w:r>
      <w:r>
        <w:t xml:space="preserve">aracılığıyla </w:t>
      </w:r>
      <w:r w:rsidRPr="00330496">
        <w:t xml:space="preserve">veya </w:t>
      </w:r>
      <w:r>
        <w:t>k</w:t>
      </w:r>
      <w:r w:rsidRPr="00330496">
        <w:t xml:space="preserve">urumsal </w:t>
      </w:r>
      <w:r>
        <w:t>sistemlerin KEPHS web servislerine güvenli erişim sağlanarak;</w:t>
      </w:r>
    </w:p>
    <w:p w:rsidR="00131885" w:rsidRDefault="00131885" w:rsidP="00131885">
      <w:pPr>
        <w:pStyle w:val="ListeParagraf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İleti ve delillere erişebilmesini,</w:t>
      </w:r>
    </w:p>
    <w:p w:rsidR="00131885" w:rsidRDefault="00131885" w:rsidP="00131885">
      <w:pPr>
        <w:pStyle w:val="ListeParagraf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C27B9">
        <w:rPr>
          <w:rFonts w:ascii="Times New Roman" w:hAnsi="Times New Roman"/>
          <w:sz w:val="24"/>
          <w:szCs w:val="24"/>
        </w:rPr>
        <w:t xml:space="preserve">iletilerin </w:t>
      </w:r>
      <w:r>
        <w:rPr>
          <w:rFonts w:ascii="Times New Roman" w:hAnsi="Times New Roman"/>
          <w:sz w:val="24"/>
          <w:szCs w:val="24"/>
        </w:rPr>
        <w:t xml:space="preserve">ve delillerin görüntülenmesini, </w:t>
      </w:r>
      <w:r w:rsidRPr="006D4F4F">
        <w:rPr>
          <w:rFonts w:ascii="Times New Roman" w:hAnsi="Times New Roman"/>
          <w:sz w:val="24"/>
          <w:szCs w:val="24"/>
        </w:rPr>
        <w:t>kullanıcı bilgisayar</w:t>
      </w:r>
      <w:r>
        <w:rPr>
          <w:rFonts w:ascii="Times New Roman" w:hAnsi="Times New Roman"/>
          <w:sz w:val="24"/>
          <w:szCs w:val="24"/>
        </w:rPr>
        <w:t xml:space="preserve"> sistemine</w:t>
      </w:r>
      <w:r w:rsidRPr="006D4F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indirilebilmesini, silinebilmesini (</w:t>
      </w:r>
      <w:proofErr w:type="spellStart"/>
      <w:r>
        <w:rPr>
          <w:rFonts w:ascii="Times New Roman" w:hAnsi="Times New Roman"/>
          <w:sz w:val="24"/>
          <w:szCs w:val="24"/>
        </w:rPr>
        <w:t>KEPHS’nin</w:t>
      </w:r>
      <w:proofErr w:type="spellEnd"/>
      <w:r>
        <w:rPr>
          <w:rFonts w:ascii="Times New Roman" w:hAnsi="Times New Roman"/>
          <w:sz w:val="24"/>
          <w:szCs w:val="24"/>
        </w:rPr>
        <w:t xml:space="preserve"> saklamakla yükümlü olduğu deliller hariç) ve gönderilebilmesini,</w:t>
      </w:r>
    </w:p>
    <w:p w:rsidR="00131885" w:rsidRPr="009A0A66" w:rsidRDefault="00131885" w:rsidP="00131885">
      <w:pPr>
        <w:jc w:val="both"/>
      </w:pPr>
      <w:r>
        <w:t>sağlayabilecektir.</w:t>
      </w:r>
    </w:p>
    <w:p w:rsidR="00131885" w:rsidRDefault="00131885" w:rsidP="00131885">
      <w:pPr>
        <w:jc w:val="both"/>
      </w:pPr>
      <w:r>
        <w:t xml:space="preserve">YÜKLENİCİ ayrıca </w:t>
      </w:r>
      <w:proofErr w:type="spellStart"/>
      <w:r>
        <w:t>İDARE’nin</w:t>
      </w:r>
      <w:proofErr w:type="spellEnd"/>
      <w:r>
        <w:t xml:space="preserve"> kurumsal sistemlerine entegrasyonunda gereksinim duyabileceği e</w:t>
      </w:r>
      <w:r w:rsidRPr="009A0A66">
        <w:t xml:space="preserve">k </w:t>
      </w:r>
      <w:r>
        <w:t xml:space="preserve">servisleri, mevzuata uygun olması koşuluyla geliştirmeyi veya bu amaçla ihtiyaç duyulabilecek ek programlama </w:t>
      </w:r>
      <w:proofErr w:type="spellStart"/>
      <w:r>
        <w:t>arayüzlerini</w:t>
      </w:r>
      <w:proofErr w:type="spellEnd"/>
      <w:r>
        <w:t xml:space="preserve"> veya yazılım kütüphanelerini geliştirmeyi veya mevcut olanları uyarlamayı taahhüt edecektir.</w:t>
      </w:r>
    </w:p>
    <w:p w:rsidR="00131885" w:rsidRPr="009A0A66" w:rsidRDefault="00131885" w:rsidP="00131885">
      <w:pPr>
        <w:jc w:val="both"/>
      </w:pPr>
    </w:p>
    <w:p w:rsidR="00131885" w:rsidRDefault="00131885" w:rsidP="00131885">
      <w:pPr>
        <w:ind w:firstLine="708"/>
        <w:jc w:val="both"/>
      </w:pPr>
      <w:r w:rsidRPr="009A0A66">
        <w:lastRenderedPageBreak/>
        <w:t xml:space="preserve">4.4. YÜKLENİCİ, </w:t>
      </w:r>
      <w:proofErr w:type="spellStart"/>
      <w:r w:rsidRPr="009A0A66">
        <w:t>İDAR</w:t>
      </w:r>
      <w:r>
        <w:t>E</w:t>
      </w:r>
      <w:r w:rsidRPr="009A0A66">
        <w:t>’nin</w:t>
      </w:r>
      <w:proofErr w:type="spellEnd"/>
      <w:r w:rsidRPr="009A0A66">
        <w:t xml:space="preserve"> talebi halinde KEP </w:t>
      </w:r>
      <w:r>
        <w:t xml:space="preserve">ve E-Tebligat </w:t>
      </w:r>
      <w:r w:rsidRPr="009A0A66">
        <w:t>mevzuat</w:t>
      </w:r>
      <w:r>
        <w:t>ları</w:t>
      </w:r>
      <w:r w:rsidRPr="009A0A66">
        <w:t xml:space="preserve"> kapsamında arşiv ve </w:t>
      </w:r>
      <w:r>
        <w:t xml:space="preserve">onayları halinde </w:t>
      </w:r>
      <w:r w:rsidRPr="009A0A66">
        <w:t xml:space="preserve">diğer </w:t>
      </w:r>
      <w:proofErr w:type="spellStart"/>
      <w:r>
        <w:t>KEPHS’lerden</w:t>
      </w:r>
      <w:proofErr w:type="spellEnd"/>
      <w:r>
        <w:t xml:space="preserve"> alınabilecek hesapların kurumsal entegrasyonu da dahil, </w:t>
      </w:r>
      <w:r w:rsidRPr="009A0A66">
        <w:t>katma değerli hizmetleri sunabileceğini taahhüt edecektir.</w:t>
      </w:r>
    </w:p>
    <w:p w:rsidR="00131885" w:rsidRPr="009A0A66" w:rsidRDefault="00131885" w:rsidP="00131885">
      <w:pPr>
        <w:jc w:val="both"/>
      </w:pPr>
    </w:p>
    <w:p w:rsidR="00131885" w:rsidRDefault="00131885" w:rsidP="00131885">
      <w:pPr>
        <w:ind w:firstLine="708"/>
        <w:jc w:val="both"/>
      </w:pPr>
      <w:r>
        <w:t>4.5.</w:t>
      </w:r>
      <w:r w:rsidRPr="00160F68">
        <w:t xml:space="preserve"> </w:t>
      </w:r>
      <w:proofErr w:type="spellStart"/>
      <w:r w:rsidRPr="00160F68">
        <w:t>İDARE’nin</w:t>
      </w:r>
      <w:proofErr w:type="spellEnd"/>
      <w:r w:rsidRPr="00160F68">
        <w:t xml:space="preserve"> Elektronik Belge Yönetimi Sistemi (EBYS) veya KEP Sistemine bağlanması istenen diğer uygulamalar</w:t>
      </w:r>
      <w:r>
        <w:t>,</w:t>
      </w:r>
      <w:r w:rsidRPr="00160F68">
        <w:t xml:space="preserve"> KEPHS tarafında</w:t>
      </w:r>
      <w:r>
        <w:t>n sağlanacak yazılım kütüphaneleri</w:t>
      </w:r>
      <w:r w:rsidRPr="00160F68">
        <w:t xml:space="preserve"> vasıtasıyla</w:t>
      </w:r>
      <w:r>
        <w:t>, imza oluşturma ve doğrulama ile mevzuata uygun ileti oluşturma ve ayrıştırma işlev</w:t>
      </w:r>
      <w:r w:rsidRPr="00160F68">
        <w:t xml:space="preserve">lerinin ilgili uygulamalar içinde ayrıca </w:t>
      </w:r>
      <w:r>
        <w:t>geliştirilmesine</w:t>
      </w:r>
      <w:r w:rsidRPr="00160F68">
        <w:t xml:space="preserve"> gerektirmeden </w:t>
      </w:r>
      <w:r>
        <w:t xml:space="preserve">gerçekleştirilebilmesini </w:t>
      </w:r>
      <w:r w:rsidRPr="00160F68">
        <w:t>sağlana</w:t>
      </w:r>
      <w:r>
        <w:t>caktır</w:t>
      </w:r>
      <w:r w:rsidRPr="00160F68">
        <w:t>.</w:t>
      </w:r>
    </w:p>
    <w:p w:rsidR="00131885" w:rsidRPr="00160F68" w:rsidRDefault="00131885" w:rsidP="00131885">
      <w:pPr>
        <w:jc w:val="both"/>
      </w:pPr>
      <w:r>
        <w:t xml:space="preserve">YÜKLENİCİ, EBYS uygulaması da dahil olmak üzere, diğer kurumsal uygulamaların E-Tebligat başta olmak üzere, tüm KEP uygulamalarının kullanılabilmesi amacıyla KEP Sistemine entegrasyonu için gerekli olan çalışmaları ilgili sistemlerin geliştiricileri/sağlayıcıları ile </w:t>
      </w:r>
      <w:proofErr w:type="spellStart"/>
      <w:r>
        <w:t>İDARE’nin</w:t>
      </w:r>
      <w:proofErr w:type="spellEnd"/>
      <w:r>
        <w:t xml:space="preserve"> nezaretinde ve gerektiğinde İDARE adına işbirliği yaparak gerçekleştirmeyi kabul ve taahhüt edecektir.</w:t>
      </w:r>
    </w:p>
    <w:p w:rsidR="00131885" w:rsidRPr="00722548" w:rsidRDefault="00131885" w:rsidP="00131885">
      <w:pPr>
        <w:jc w:val="both"/>
      </w:pPr>
    </w:p>
    <w:p w:rsidR="00131885" w:rsidRPr="0043365F" w:rsidRDefault="00131885" w:rsidP="00131885">
      <w:pPr>
        <w:ind w:firstLine="708"/>
        <w:jc w:val="both"/>
      </w:pPr>
      <w:r>
        <w:t>4.6.</w:t>
      </w:r>
      <w:r w:rsidRPr="00160F68">
        <w:t xml:space="preserve"> </w:t>
      </w:r>
      <w:proofErr w:type="spellStart"/>
      <w:r w:rsidRPr="00160F68">
        <w:t>İDARE’nin</w:t>
      </w:r>
      <w:proofErr w:type="spellEnd"/>
      <w:r w:rsidRPr="00160F68">
        <w:t xml:space="preserve"> birden fazla uygulama üzerinden </w:t>
      </w:r>
      <w:r>
        <w:t xml:space="preserve">E-Tebligat gönderme veya alma amacıyla KEP Sistemine </w:t>
      </w:r>
      <w:r w:rsidRPr="00160F68">
        <w:t>erişim (ileti alımı ve gönderimi) gereksiniminin karşılanması amacıyla KEPHS</w:t>
      </w:r>
      <w:r>
        <w:t>,</w:t>
      </w:r>
      <w:r w:rsidRPr="00160F68">
        <w:t xml:space="preserve"> kurumsal enteg</w:t>
      </w:r>
      <w:r>
        <w:t>rasyon çözümü teklif edecektir. Entegrasyon çözümü b</w:t>
      </w:r>
      <w:r w:rsidRPr="0043365F">
        <w:t>ir veya birden fazla KEPHS ü</w:t>
      </w:r>
      <w:r>
        <w:t>zerinden alınan KEP hesaplarına</w:t>
      </w:r>
      <w:r w:rsidRPr="0043365F">
        <w:t xml:space="preserve">, kurum içerisinde tek bir nokta üzerinden, kurum içerisinde bulunan sistemlere KEP iletilerinin iletilmesini, </w:t>
      </w:r>
      <w:proofErr w:type="spellStart"/>
      <w:r>
        <w:t>İDARE’nin</w:t>
      </w:r>
      <w:proofErr w:type="spellEnd"/>
      <w:r>
        <w:t xml:space="preserve"> Bilgi Sistemleri içerisinde </w:t>
      </w:r>
      <w:r w:rsidRPr="0043365F">
        <w:t xml:space="preserve">arşivlenmesini ve </w:t>
      </w:r>
      <w:r>
        <w:t xml:space="preserve">KEP ile </w:t>
      </w:r>
      <w:proofErr w:type="spellStart"/>
      <w:r>
        <w:t>ilgil</w:t>
      </w:r>
      <w:proofErr w:type="spellEnd"/>
      <w:r>
        <w:t xml:space="preserve"> yapılan </w:t>
      </w:r>
      <w:r w:rsidRPr="0043365F">
        <w:t>işlemlerin izlen</w:t>
      </w:r>
      <w:r>
        <w:t>mesini ve raporlanmasını sağlayacaktır.</w:t>
      </w:r>
    </w:p>
    <w:p w:rsidR="00131885" w:rsidRPr="00A030C7" w:rsidRDefault="00131885" w:rsidP="00131885">
      <w:pPr>
        <w:jc w:val="both"/>
      </w:pPr>
      <w:r>
        <w:t xml:space="preserve">KEP kurumsal entegrasyon çözümü, </w:t>
      </w:r>
      <w:proofErr w:type="spellStart"/>
      <w:r>
        <w:t>İDARE’nin</w:t>
      </w:r>
      <w:proofErr w:type="spellEnd"/>
      <w:r>
        <w:t xml:space="preserve"> KEP Sistemi ile entegre edilecek dahili uygulamalarının, y</w:t>
      </w:r>
      <w:r w:rsidRPr="00A030C7">
        <w:t>asal mevzuatta oluşabilecek değişliklerinden,</w:t>
      </w:r>
      <w:r>
        <w:t xml:space="preserve"> </w:t>
      </w:r>
      <w:r w:rsidRPr="00A030C7">
        <w:t>KEP ileti formatlarında yapılabilecek değişiklerden,</w:t>
      </w:r>
      <w:r>
        <w:t xml:space="preserve"> </w:t>
      </w:r>
      <w:r w:rsidRPr="00A030C7">
        <w:t xml:space="preserve">KEPHS bağlantı noktalarında oluşabilecek </w:t>
      </w:r>
      <w:r>
        <w:t>değişikliklerden etkilenmeden;</w:t>
      </w:r>
    </w:p>
    <w:p w:rsidR="00131885" w:rsidRPr="00A030C7" w:rsidRDefault="00131885" w:rsidP="00131885">
      <w:pPr>
        <w:pStyle w:val="ListeParagraf"/>
        <w:numPr>
          <w:ilvl w:val="0"/>
          <w:numId w:val="8"/>
        </w:numPr>
        <w:spacing w:after="0" w:line="259" w:lineRule="auto"/>
        <w:ind w:hanging="4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A030C7">
        <w:rPr>
          <w:rFonts w:ascii="Times New Roman" w:hAnsi="Times New Roman"/>
          <w:sz w:val="24"/>
          <w:szCs w:val="24"/>
        </w:rPr>
        <w:t>-d</w:t>
      </w:r>
      <w:r>
        <w:rPr>
          <w:rFonts w:ascii="Times New Roman" w:hAnsi="Times New Roman"/>
          <w:sz w:val="24"/>
          <w:szCs w:val="24"/>
        </w:rPr>
        <w:t>önüşüm</w:t>
      </w:r>
      <w:r w:rsidRPr="00A030C7">
        <w:rPr>
          <w:rFonts w:ascii="Times New Roman" w:hAnsi="Times New Roman"/>
          <w:sz w:val="24"/>
          <w:szCs w:val="24"/>
        </w:rPr>
        <w:t xml:space="preserve"> projeleri kapsamında (E-tebligat ve E-Yazışma gibi) oluşacak </w:t>
      </w:r>
      <w:r>
        <w:rPr>
          <w:rFonts w:ascii="Times New Roman" w:hAnsi="Times New Roman"/>
          <w:sz w:val="24"/>
          <w:szCs w:val="24"/>
        </w:rPr>
        <w:t>e-</w:t>
      </w:r>
      <w:r w:rsidRPr="00A030C7">
        <w:rPr>
          <w:rFonts w:ascii="Times New Roman" w:hAnsi="Times New Roman"/>
          <w:sz w:val="24"/>
          <w:szCs w:val="24"/>
        </w:rPr>
        <w:t xml:space="preserve">tebligat ve </w:t>
      </w:r>
      <w:r>
        <w:rPr>
          <w:rFonts w:ascii="Times New Roman" w:hAnsi="Times New Roman"/>
          <w:sz w:val="24"/>
          <w:szCs w:val="24"/>
        </w:rPr>
        <w:t>diğer tüm resmi ileti alımı ve gönderimi sena</w:t>
      </w:r>
      <w:r w:rsidRPr="00A030C7">
        <w:rPr>
          <w:rFonts w:ascii="Times New Roman" w:hAnsi="Times New Roman"/>
          <w:sz w:val="24"/>
          <w:szCs w:val="24"/>
        </w:rPr>
        <w:t>ryolarına uygun</w:t>
      </w:r>
      <w:r>
        <w:rPr>
          <w:rFonts w:ascii="Times New Roman" w:hAnsi="Times New Roman"/>
          <w:sz w:val="24"/>
          <w:szCs w:val="24"/>
        </w:rPr>
        <w:t xml:space="preserve"> olarak yapılandırılabilecek,</w:t>
      </w:r>
    </w:p>
    <w:p w:rsidR="00131885" w:rsidRDefault="00131885" w:rsidP="00131885">
      <w:pPr>
        <w:pStyle w:val="ListeParagraf"/>
        <w:numPr>
          <w:ilvl w:val="0"/>
          <w:numId w:val="8"/>
        </w:numPr>
        <w:spacing w:after="160" w:line="259" w:lineRule="auto"/>
        <w:ind w:hanging="42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İDARE’nin</w:t>
      </w:r>
      <w:proofErr w:type="spellEnd"/>
      <w:r w:rsidRPr="00FE75E2">
        <w:rPr>
          <w:rFonts w:ascii="Times New Roman" w:hAnsi="Times New Roman"/>
          <w:sz w:val="24"/>
          <w:szCs w:val="24"/>
        </w:rPr>
        <w:t xml:space="preserve"> iç uygulama yapısını değiştirmeden KEP ileti alımının ve gönderiminin yapılmasını ve KEP </w:t>
      </w:r>
      <w:r>
        <w:rPr>
          <w:rFonts w:ascii="Times New Roman" w:hAnsi="Times New Roman"/>
          <w:sz w:val="24"/>
          <w:szCs w:val="24"/>
        </w:rPr>
        <w:t>ileti akışlarının</w:t>
      </w:r>
      <w:r w:rsidRPr="00FE75E2">
        <w:rPr>
          <w:rFonts w:ascii="Times New Roman" w:hAnsi="Times New Roman"/>
          <w:sz w:val="24"/>
          <w:szCs w:val="24"/>
        </w:rPr>
        <w:t xml:space="preserve"> yönetil</w:t>
      </w:r>
      <w:r>
        <w:rPr>
          <w:rFonts w:ascii="Times New Roman" w:hAnsi="Times New Roman"/>
          <w:sz w:val="24"/>
          <w:szCs w:val="24"/>
        </w:rPr>
        <w:t>ebil</w:t>
      </w:r>
      <w:r w:rsidRPr="00FE75E2">
        <w:rPr>
          <w:rFonts w:ascii="Times New Roman" w:hAnsi="Times New Roman"/>
          <w:sz w:val="24"/>
          <w:szCs w:val="24"/>
        </w:rPr>
        <w:t>mesini sağlayacaktır.</w:t>
      </w:r>
    </w:p>
    <w:p w:rsidR="00131885" w:rsidRDefault="00131885" w:rsidP="00131885">
      <w:pPr>
        <w:jc w:val="both"/>
      </w:pPr>
      <w:r>
        <w:t xml:space="preserve">Entegrasyon çözümü ölçeklenmeye uygun olacak, </w:t>
      </w:r>
      <w:proofErr w:type="spellStart"/>
      <w:r>
        <w:t>İDARE’nin</w:t>
      </w:r>
      <w:proofErr w:type="spellEnd"/>
      <w:r>
        <w:t xml:space="preserve"> gereksinimlerine göre dağıtık ve katmanlı BT altyapılarına uygun olacak, ayrıca </w:t>
      </w:r>
      <w:proofErr w:type="spellStart"/>
      <w:r>
        <w:t>İDARE’nin</w:t>
      </w:r>
      <w:proofErr w:type="spellEnd"/>
      <w:r>
        <w:t xml:space="preserve"> öngöreceği iş sürekliliği ve felaket kurtarma senaryolarına göre özelleştirilebilecektir.</w:t>
      </w:r>
    </w:p>
    <w:p w:rsidR="00131885" w:rsidRDefault="00131885" w:rsidP="00131885">
      <w:pPr>
        <w:jc w:val="both"/>
      </w:pPr>
      <w:r>
        <w:t>Entegrasyon çözümü sanallaştırılmış altyapılarda kullanmaya uygun olarak geliştirilmiş olacaktır.</w:t>
      </w:r>
    </w:p>
    <w:p w:rsidR="00131885" w:rsidRDefault="00131885" w:rsidP="00131885">
      <w:pPr>
        <w:jc w:val="both"/>
      </w:pPr>
      <w:r>
        <w:t xml:space="preserve">Entegrasyon çözümü </w:t>
      </w:r>
      <w:proofErr w:type="spellStart"/>
      <w:r>
        <w:t>İDARE’nin</w:t>
      </w:r>
      <w:proofErr w:type="spellEnd"/>
      <w:r>
        <w:t xml:space="preserve"> gereksinimleri doğrultusunda farklı </w:t>
      </w:r>
      <w:proofErr w:type="spellStart"/>
      <w:r>
        <w:t>veritabanı</w:t>
      </w:r>
      <w:proofErr w:type="spellEnd"/>
      <w:r>
        <w:t xml:space="preserve">, uygulama sunucusu ve işletim sistemleri temelinde çalışabilecektir. YÜKLENİCİ teklifinde entegrasyon çözümünün hangi farklı işletim sistemleri, </w:t>
      </w:r>
      <w:proofErr w:type="spellStart"/>
      <w:r>
        <w:t>veritabanı</w:t>
      </w:r>
      <w:proofErr w:type="spellEnd"/>
      <w:r>
        <w:t xml:space="preserve"> uygulamaları ve uygulama sunucuları ile uyumlu olduğunu belirtecektir.</w:t>
      </w:r>
    </w:p>
    <w:p w:rsidR="00131885" w:rsidRDefault="00131885" w:rsidP="00131885">
      <w:pPr>
        <w:jc w:val="both"/>
      </w:pPr>
      <w:r>
        <w:t xml:space="preserve">Entegrasyon çözümü farklı uygulama gereksinimlerine göre hem </w:t>
      </w:r>
      <w:proofErr w:type="spellStart"/>
      <w:r>
        <w:t>token</w:t>
      </w:r>
      <w:proofErr w:type="spellEnd"/>
      <w:r>
        <w:t xml:space="preserve"> hem de HSM (Hardware Security </w:t>
      </w:r>
      <w:proofErr w:type="spellStart"/>
      <w:r>
        <w:t>Module</w:t>
      </w:r>
      <w:proofErr w:type="spellEnd"/>
      <w:r>
        <w:t xml:space="preserve"> - Donanımsal Güvenlik Modülü) üzerinden elektronik imzalama desteği </w:t>
      </w:r>
      <w:proofErr w:type="spellStart"/>
      <w:r>
        <w:t>sağlayacabilecektir</w:t>
      </w:r>
      <w:proofErr w:type="spellEnd"/>
      <w:r>
        <w:t>.</w:t>
      </w:r>
    </w:p>
    <w:p w:rsidR="00131885" w:rsidRDefault="00131885" w:rsidP="00131885">
      <w:pPr>
        <w:jc w:val="both"/>
      </w:pPr>
      <w:r>
        <w:t>Entegrasyon çözümü ayrıca;</w:t>
      </w:r>
    </w:p>
    <w:p w:rsidR="00131885" w:rsidRDefault="00131885" w:rsidP="00131885">
      <w:pPr>
        <w:pStyle w:val="ListeParagraf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53255C">
        <w:rPr>
          <w:rFonts w:ascii="Times New Roman" w:hAnsi="Times New Roman"/>
          <w:sz w:val="24"/>
          <w:szCs w:val="24"/>
        </w:rPr>
        <w:t xml:space="preserve">dosya ve </w:t>
      </w:r>
      <w:proofErr w:type="spellStart"/>
      <w:r w:rsidRPr="0053255C">
        <w:rPr>
          <w:rFonts w:ascii="Times New Roman" w:hAnsi="Times New Roman"/>
          <w:sz w:val="24"/>
          <w:szCs w:val="24"/>
        </w:rPr>
        <w:t>veritabanı</w:t>
      </w:r>
      <w:proofErr w:type="spellEnd"/>
      <w:r w:rsidRPr="0053255C">
        <w:rPr>
          <w:rFonts w:ascii="Times New Roman" w:hAnsi="Times New Roman"/>
          <w:sz w:val="24"/>
          <w:szCs w:val="24"/>
        </w:rPr>
        <w:t xml:space="preserve"> temelli ileti ve delil arşivleme desteği, </w:t>
      </w:r>
    </w:p>
    <w:p w:rsidR="00131885" w:rsidRDefault="00131885" w:rsidP="00131885">
      <w:pPr>
        <w:pStyle w:val="ListeParagraf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gönderilecek </w:t>
      </w:r>
      <w:r w:rsidRPr="0053255C">
        <w:rPr>
          <w:rFonts w:ascii="Times New Roman" w:hAnsi="Times New Roman"/>
          <w:sz w:val="24"/>
          <w:szCs w:val="24"/>
        </w:rPr>
        <w:t>ileti</w:t>
      </w:r>
      <w:r>
        <w:rPr>
          <w:rFonts w:ascii="Times New Roman" w:hAnsi="Times New Roman"/>
          <w:sz w:val="24"/>
          <w:szCs w:val="24"/>
        </w:rPr>
        <w:t>ler için</w:t>
      </w:r>
      <w:r w:rsidRPr="0053255C">
        <w:rPr>
          <w:rFonts w:ascii="Times New Roman" w:hAnsi="Times New Roman"/>
          <w:sz w:val="24"/>
          <w:szCs w:val="24"/>
        </w:rPr>
        <w:t xml:space="preserve"> imzalama </w:t>
      </w:r>
      <w:r>
        <w:rPr>
          <w:rFonts w:ascii="Times New Roman" w:hAnsi="Times New Roman"/>
          <w:sz w:val="24"/>
          <w:szCs w:val="24"/>
        </w:rPr>
        <w:t xml:space="preserve">gelen iletiler için ileti ayrıştırma </w:t>
      </w:r>
      <w:r w:rsidRPr="0053255C">
        <w:rPr>
          <w:rFonts w:ascii="Times New Roman" w:hAnsi="Times New Roman"/>
          <w:sz w:val="24"/>
          <w:szCs w:val="24"/>
        </w:rPr>
        <w:t>öz</w:t>
      </w:r>
      <w:r>
        <w:rPr>
          <w:rFonts w:ascii="Times New Roman" w:hAnsi="Times New Roman"/>
          <w:sz w:val="24"/>
          <w:szCs w:val="24"/>
        </w:rPr>
        <w:t>elliği,</w:t>
      </w:r>
    </w:p>
    <w:p w:rsidR="00131885" w:rsidRDefault="00131885" w:rsidP="00131885">
      <w:pPr>
        <w:pStyle w:val="ListeParagraf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KEPHS web servisleri bağlantıları,</w:t>
      </w:r>
    </w:p>
    <w:p w:rsidR="00131885" w:rsidRDefault="00131885" w:rsidP="00131885">
      <w:pPr>
        <w:pStyle w:val="ListeParagraf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3255C">
        <w:rPr>
          <w:rFonts w:ascii="Times New Roman" w:hAnsi="Times New Roman"/>
          <w:sz w:val="24"/>
          <w:szCs w:val="24"/>
        </w:rPr>
        <w:t xml:space="preserve">tandart e-posta </w:t>
      </w:r>
      <w:r>
        <w:rPr>
          <w:rFonts w:ascii="Times New Roman" w:hAnsi="Times New Roman"/>
          <w:sz w:val="24"/>
          <w:szCs w:val="24"/>
        </w:rPr>
        <w:t xml:space="preserve">(SEP) </w:t>
      </w:r>
      <w:r w:rsidRPr="0053255C">
        <w:rPr>
          <w:rFonts w:ascii="Times New Roman" w:hAnsi="Times New Roman"/>
          <w:sz w:val="24"/>
          <w:szCs w:val="24"/>
        </w:rPr>
        <w:t xml:space="preserve">hesabına </w:t>
      </w:r>
      <w:r>
        <w:rPr>
          <w:rFonts w:ascii="Times New Roman" w:hAnsi="Times New Roman"/>
          <w:sz w:val="24"/>
          <w:szCs w:val="24"/>
        </w:rPr>
        <w:t xml:space="preserve">iletme </w:t>
      </w:r>
      <w:r w:rsidRPr="0053255C">
        <w:rPr>
          <w:rFonts w:ascii="Times New Roman" w:hAnsi="Times New Roman"/>
          <w:sz w:val="24"/>
          <w:szCs w:val="24"/>
        </w:rPr>
        <w:t>desteği</w:t>
      </w:r>
      <w:r>
        <w:rPr>
          <w:rFonts w:ascii="Times New Roman" w:hAnsi="Times New Roman"/>
          <w:sz w:val="24"/>
          <w:szCs w:val="24"/>
        </w:rPr>
        <w:t>,</w:t>
      </w:r>
    </w:p>
    <w:p w:rsidR="00131885" w:rsidRDefault="00131885" w:rsidP="00131885">
      <w:pPr>
        <w:pStyle w:val="ListeParagraf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standart e-posta istemcisi entegrasyonu,</w:t>
      </w:r>
    </w:p>
    <w:p w:rsidR="00131885" w:rsidRPr="00F763BB" w:rsidRDefault="00131885" w:rsidP="00131885">
      <w:pPr>
        <w:pStyle w:val="ListeParagraf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</w:t>
      </w:r>
      <w:r w:rsidRPr="00F763BB">
        <w:rPr>
          <w:rFonts w:ascii="Times New Roman" w:hAnsi="Times New Roman"/>
          <w:sz w:val="24"/>
          <w:szCs w:val="24"/>
        </w:rPr>
        <w:t>ekli</w:t>
      </w:r>
      <w:r>
        <w:rPr>
          <w:rFonts w:ascii="Times New Roman" w:hAnsi="Times New Roman"/>
          <w:sz w:val="24"/>
          <w:szCs w:val="24"/>
        </w:rPr>
        <w:t>, çoklu ve</w:t>
      </w:r>
      <w:r w:rsidRPr="00F763B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takvimlenmiş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763BB">
        <w:rPr>
          <w:rFonts w:ascii="Times New Roman" w:hAnsi="Times New Roman"/>
          <w:sz w:val="24"/>
          <w:szCs w:val="24"/>
        </w:rPr>
        <w:t>KEP İleti</w:t>
      </w:r>
      <w:r>
        <w:rPr>
          <w:rFonts w:ascii="Times New Roman" w:hAnsi="Times New Roman"/>
          <w:sz w:val="24"/>
          <w:szCs w:val="24"/>
        </w:rPr>
        <w:t>si</w:t>
      </w:r>
      <w:r w:rsidRPr="00F763BB">
        <w:rPr>
          <w:rFonts w:ascii="Times New Roman" w:hAnsi="Times New Roman"/>
          <w:sz w:val="24"/>
          <w:szCs w:val="24"/>
        </w:rPr>
        <w:t xml:space="preserve"> Gönderimi</w:t>
      </w:r>
    </w:p>
    <w:p w:rsidR="00131885" w:rsidRDefault="00131885" w:rsidP="00131885">
      <w:pPr>
        <w:pStyle w:val="ListeParagraf"/>
        <w:numPr>
          <w:ilvl w:val="0"/>
          <w:numId w:val="9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yönetim ve raporlama işlevleri (KEP gönderi ö</w:t>
      </w:r>
      <w:r w:rsidRPr="006213BC">
        <w:rPr>
          <w:rFonts w:ascii="Times New Roman" w:hAnsi="Times New Roman"/>
          <w:sz w:val="24"/>
          <w:szCs w:val="24"/>
        </w:rPr>
        <w:t xml:space="preserve">demeleri her harcama birimi tarafından gönderi raporlarına göre kendileri tarafından </w:t>
      </w:r>
      <w:proofErr w:type="spellStart"/>
      <w:r w:rsidRPr="006213BC">
        <w:rPr>
          <w:rFonts w:ascii="Times New Roman" w:hAnsi="Times New Roman"/>
          <w:sz w:val="24"/>
          <w:szCs w:val="24"/>
        </w:rPr>
        <w:t>KEP</w:t>
      </w:r>
      <w:r>
        <w:rPr>
          <w:rFonts w:ascii="Times New Roman" w:hAnsi="Times New Roman"/>
          <w:sz w:val="24"/>
          <w:szCs w:val="24"/>
        </w:rPr>
        <w:t>HS’ye</w:t>
      </w:r>
      <w:proofErr w:type="spellEnd"/>
      <w:r>
        <w:rPr>
          <w:rFonts w:ascii="Times New Roman" w:hAnsi="Times New Roman"/>
          <w:sz w:val="24"/>
          <w:szCs w:val="24"/>
        </w:rPr>
        <w:t xml:space="preserve"> ödeneceğinden bu ihtiyacı karşılayacak raporlar </w:t>
      </w:r>
      <w:proofErr w:type="spellStart"/>
      <w:r>
        <w:rPr>
          <w:rFonts w:ascii="Times New Roman" w:hAnsi="Times New Roman"/>
          <w:sz w:val="24"/>
          <w:szCs w:val="24"/>
        </w:rPr>
        <w:t>v.b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131885" w:rsidRDefault="00131885" w:rsidP="00131885">
      <w:pPr>
        <w:jc w:val="both"/>
      </w:pPr>
      <w:r w:rsidRPr="00F763BB">
        <w:t>sağlayacaktır.</w:t>
      </w:r>
    </w:p>
    <w:p w:rsidR="00131885" w:rsidRPr="00F763BB" w:rsidRDefault="00131885" w:rsidP="00131885">
      <w:pPr>
        <w:jc w:val="both"/>
      </w:pPr>
      <w:r>
        <w:t xml:space="preserve">YÜKLENİCİ, </w:t>
      </w:r>
      <w:proofErr w:type="spellStart"/>
      <w:r>
        <w:t>İDARE’nin</w:t>
      </w:r>
      <w:proofErr w:type="spellEnd"/>
      <w:r>
        <w:t xml:space="preserve"> sistemlerinin KEP Sistemine entegrasyonu esnasında gerekebilecek, mevzuata uygun ek işlevlerin entegrasyon çözümünde geliştirebileceğini taahhüt edecektir.</w:t>
      </w:r>
    </w:p>
    <w:p w:rsidR="00131885" w:rsidRDefault="00131885" w:rsidP="00131885">
      <w:pPr>
        <w:jc w:val="both"/>
      </w:pPr>
      <w:r>
        <w:t>YÜKLENİCİ teklif edeceği e</w:t>
      </w:r>
      <w:r w:rsidRPr="00EF4FD7">
        <w:t>ntegrasyon çözümü</w:t>
      </w:r>
      <w:r>
        <w:t>nün</w:t>
      </w:r>
      <w:r w:rsidRPr="00EF4FD7">
        <w:t xml:space="preserve"> </w:t>
      </w:r>
      <w:r>
        <w:t xml:space="preserve">yetkilendirilmiş </w:t>
      </w:r>
      <w:r w:rsidRPr="00EF4FD7">
        <w:t xml:space="preserve">tüm </w:t>
      </w:r>
      <w:proofErr w:type="spellStart"/>
      <w:r>
        <w:t>KEPHS</w:t>
      </w:r>
      <w:r w:rsidRPr="00EF4FD7">
        <w:t>’</w:t>
      </w:r>
      <w:r>
        <w:t>lerle</w:t>
      </w:r>
      <w:proofErr w:type="spellEnd"/>
      <w:r>
        <w:t xml:space="preserve"> entegrasyon sağlayabileceğini taahhüt edecektir. Entegrasyonun yapılabilmesi amacıyla, </w:t>
      </w:r>
      <w:proofErr w:type="spellStart"/>
      <w:r>
        <w:t>İDARE’nin</w:t>
      </w:r>
      <w:proofErr w:type="spellEnd"/>
      <w:r>
        <w:t xml:space="preserve"> hizmet alabileceği ilgili diğer </w:t>
      </w:r>
      <w:proofErr w:type="spellStart"/>
      <w:r>
        <w:t>KEPHS’ler</w:t>
      </w:r>
      <w:proofErr w:type="spellEnd"/>
      <w:r>
        <w:t xml:space="preserve"> ile iletişim ve gerekli onayların alınması </w:t>
      </w:r>
      <w:proofErr w:type="spellStart"/>
      <w:r>
        <w:t>İDARE’nin</w:t>
      </w:r>
      <w:proofErr w:type="spellEnd"/>
      <w:r>
        <w:t xml:space="preserve"> yetki ve sorumluluğunda olacaktır.</w:t>
      </w:r>
    </w:p>
    <w:p w:rsidR="00131885" w:rsidRPr="00B079FD" w:rsidRDefault="00131885" w:rsidP="00131885">
      <w:pPr>
        <w:jc w:val="both"/>
      </w:pPr>
    </w:p>
    <w:p w:rsidR="00131885" w:rsidRPr="00B079FD" w:rsidRDefault="00131885" w:rsidP="00131885">
      <w:pPr>
        <w:jc w:val="both"/>
      </w:pPr>
      <w:r>
        <w:tab/>
        <w:t>4.7.</w:t>
      </w:r>
      <w:r w:rsidRPr="00B079FD">
        <w:t xml:space="preserve"> YÜKLENİCİ, İdare’nin kendisine ait bilgiler ile KEP hesabı bilgilerinden oluşacak KEP rehberini tüm hesap sahipleri ve işlem yetkililerinin erişimine yedi gün yirmi dört sa</w:t>
      </w:r>
      <w:r>
        <w:t>at kesintisiz olarak açık tuta</w:t>
      </w:r>
      <w:r w:rsidRPr="00B079FD">
        <w:t xml:space="preserve">caktır. YÜKLENİCİ kendi sistemleri üzerinde bulunan KEP Hesaplarına ilişkin değişiklikleri ilgili KEP Rehberi’ne </w:t>
      </w:r>
      <w:r>
        <w:t>düzenli</w:t>
      </w:r>
      <w:r w:rsidRPr="00B079FD">
        <w:t xml:space="preserve"> olarak işleyerek güncelleyecektir. Ayrıca KEP Rehberi’nin gerçek zamanlı olarak güncel tutulması için gerekli teknik altyapı</w:t>
      </w:r>
      <w:r>
        <w:t xml:space="preserve">yı da sağlayacaktır. </w:t>
      </w:r>
      <w:proofErr w:type="spellStart"/>
      <w:r>
        <w:t>İDARE’nin</w:t>
      </w:r>
      <w:proofErr w:type="spellEnd"/>
      <w:r>
        <w:t xml:space="preserve"> veya </w:t>
      </w:r>
      <w:proofErr w:type="spellStart"/>
      <w:r>
        <w:t>İDARE’ye</w:t>
      </w:r>
      <w:proofErr w:type="spellEnd"/>
      <w:r>
        <w:t xml:space="preserve"> bağlı İdari </w:t>
      </w:r>
      <w:proofErr w:type="spellStart"/>
      <w:r>
        <w:t>Birim’lerin</w:t>
      </w:r>
      <w:proofErr w:type="spellEnd"/>
      <w:r>
        <w:t xml:space="preserve"> unvanlarında ve birim yapısında değişiklik olması sebebiyle ilgili KEP adresinde değişiklik yapılması gerektiği durumda, YÜKLENİCİ </w:t>
      </w:r>
      <w:proofErr w:type="spellStart"/>
      <w:r>
        <w:t>İDARE’nin</w:t>
      </w:r>
      <w:proofErr w:type="spellEnd"/>
      <w:r>
        <w:t xml:space="preserve"> talebi üzerine, ilgili değişikliği en fazla 1(bir) iş günü içinde gerçekleştireceğini destek hizmeti kapsamında taahhüt edecektir. YÜKLENİCİ ayrıca, entegrasyon çözümü ile E-Tebligat Yönetmeliği uyarınca Tebligat Alanlar Listesi ile gerekebilecek bağlantıları gerçekleştirmeyi taahhüt edecektir.</w:t>
      </w:r>
    </w:p>
    <w:p w:rsidR="00131885" w:rsidRPr="00330496" w:rsidRDefault="00131885" w:rsidP="00131885">
      <w:pPr>
        <w:jc w:val="both"/>
      </w:pPr>
    </w:p>
    <w:p w:rsidR="00131885" w:rsidRPr="00345325" w:rsidRDefault="00131885" w:rsidP="00131885">
      <w:pPr>
        <w:jc w:val="both"/>
      </w:pPr>
      <w:r>
        <w:tab/>
        <w:t>4.8.</w:t>
      </w:r>
      <w:r w:rsidRPr="00014E2F">
        <w:t xml:space="preserve"> YÜKLENİCİ, iletinin kendisi tarafından teslim alındığı ve alıcının hesabına ya da aracı diğer KEPHS’ y</w:t>
      </w:r>
      <w:r>
        <w:t xml:space="preserve">e teslim edildiğine dair üretilen ilgili deliller vasıtasıyla </w:t>
      </w:r>
      <w:proofErr w:type="spellStart"/>
      <w:r>
        <w:t>İDARE’</w:t>
      </w:r>
      <w:r w:rsidRPr="00014E2F">
        <w:t>yi</w:t>
      </w:r>
      <w:proofErr w:type="spellEnd"/>
      <w:r w:rsidRPr="00014E2F">
        <w:t xml:space="preserve"> sistem </w:t>
      </w:r>
      <w:r w:rsidRPr="00596AA0">
        <w:t>dâhilinde bilgilendirecektir.</w:t>
      </w:r>
    </w:p>
    <w:p w:rsidR="00131885" w:rsidRPr="00330496" w:rsidRDefault="00131885" w:rsidP="00131885">
      <w:pPr>
        <w:jc w:val="both"/>
      </w:pPr>
    </w:p>
    <w:p w:rsidR="00131885" w:rsidRPr="00345325" w:rsidRDefault="00131885" w:rsidP="00131885">
      <w:pPr>
        <w:jc w:val="both"/>
      </w:pPr>
      <w:r>
        <w:tab/>
        <w:t>4.9.</w:t>
      </w:r>
      <w:r w:rsidRPr="00014E2F">
        <w:t xml:space="preserve"> YÜKLENİCİ, KEP delillerini mevzuat gereği en az 20 (yirmi) yıl süreyle, resmi tebligat hükmündeki işlemlerde en az 30 (ot</w:t>
      </w:r>
      <w:r>
        <w:t>uz) yıl süre ile saklayacaktır.</w:t>
      </w:r>
    </w:p>
    <w:p w:rsidR="00131885" w:rsidRPr="00330496" w:rsidRDefault="00131885" w:rsidP="00131885">
      <w:pPr>
        <w:jc w:val="both"/>
      </w:pPr>
    </w:p>
    <w:p w:rsidR="00131885" w:rsidRPr="00596AA0" w:rsidRDefault="00131885" w:rsidP="00131885">
      <w:pPr>
        <w:ind w:firstLine="708"/>
        <w:jc w:val="both"/>
      </w:pPr>
      <w:r>
        <w:t>4.10.</w:t>
      </w:r>
      <w:r w:rsidRPr="00014E2F">
        <w:t xml:space="preserve"> YÜKLENİCİ </w:t>
      </w:r>
      <w:proofErr w:type="spellStart"/>
      <w:r w:rsidRPr="00014E2F">
        <w:t>İDARE’nin</w:t>
      </w:r>
      <w:proofErr w:type="spellEnd"/>
      <w:r w:rsidRPr="00014E2F">
        <w:t xml:space="preserve"> talep etmesi halinde KEP </w:t>
      </w:r>
      <w:proofErr w:type="spellStart"/>
      <w:r w:rsidRPr="00014E2F">
        <w:t>Delilleri’nin</w:t>
      </w:r>
      <w:proofErr w:type="spellEnd"/>
      <w:r w:rsidRPr="00014E2F">
        <w:t xml:space="preserve"> doğrulanması hizmetini sunacaktır.</w:t>
      </w:r>
    </w:p>
    <w:p w:rsidR="00131885" w:rsidRDefault="00131885" w:rsidP="00131885">
      <w:pPr>
        <w:jc w:val="both"/>
        <w:rPr>
          <w:b/>
        </w:rPr>
      </w:pPr>
    </w:p>
    <w:p w:rsidR="00131885" w:rsidRPr="00596AA0" w:rsidRDefault="00131885" w:rsidP="00131885">
      <w:pPr>
        <w:jc w:val="both"/>
        <w:rPr>
          <w:b/>
        </w:rPr>
      </w:pPr>
      <w:r w:rsidRPr="00596AA0">
        <w:rPr>
          <w:b/>
        </w:rPr>
        <w:t xml:space="preserve">Madde 5- </w:t>
      </w:r>
      <w:r>
        <w:rPr>
          <w:b/>
        </w:rPr>
        <w:t>Hizmet Seviyesi</w:t>
      </w:r>
      <w:r w:rsidRPr="00596AA0">
        <w:rPr>
          <w:b/>
        </w:rPr>
        <w:t xml:space="preserve"> Koşullar</w:t>
      </w:r>
      <w:r>
        <w:rPr>
          <w:b/>
        </w:rPr>
        <w:t>ı</w:t>
      </w:r>
    </w:p>
    <w:p w:rsidR="00131885" w:rsidRDefault="00131885" w:rsidP="00131885">
      <w:pPr>
        <w:ind w:firstLine="708"/>
        <w:jc w:val="both"/>
      </w:pPr>
      <w:r>
        <w:t>5.1</w:t>
      </w:r>
      <w:r w:rsidRPr="00866EF0">
        <w:t xml:space="preserve">. </w:t>
      </w:r>
      <w:proofErr w:type="spellStart"/>
      <w:r w:rsidRPr="00866EF0">
        <w:t>YÜKLENİC</w:t>
      </w:r>
      <w:r>
        <w:t>İ</w:t>
      </w:r>
      <w:r w:rsidRPr="00866EF0">
        <w:t>’nin</w:t>
      </w:r>
      <w:proofErr w:type="spellEnd"/>
      <w:r w:rsidRPr="00866EF0">
        <w:t xml:space="preserve"> merkezinde 7/24 çalışan çağrı merkezi olacak ve </w:t>
      </w:r>
      <w:r>
        <w:t>sözleşme</w:t>
      </w:r>
      <w:r w:rsidRPr="00866EF0">
        <w:t xml:space="preserve"> süresince tüm destek faaliyetlerini verecektir. YÜKLENİC</w:t>
      </w:r>
      <w:r w:rsidRPr="00596AA0">
        <w:t xml:space="preserve">İ, çağrı merkezi iletişim bilgilerini </w:t>
      </w:r>
      <w:r w:rsidRPr="00345325">
        <w:t xml:space="preserve">İDARE’ ye iletecektir. Bildirilen bilgilerde </w:t>
      </w:r>
      <w:r>
        <w:t>sözleşme</w:t>
      </w:r>
      <w:r w:rsidRPr="00345325">
        <w:t xml:space="preserve"> süresi içerisinde değişiklik olması durumunda yeni bilgiler </w:t>
      </w:r>
      <w:proofErr w:type="spellStart"/>
      <w:r>
        <w:t>İDARE’ye</w:t>
      </w:r>
      <w:proofErr w:type="spellEnd"/>
      <w:r w:rsidRPr="00345325">
        <w:t xml:space="preserve"> KEP ile iletilecektir.</w:t>
      </w:r>
    </w:p>
    <w:p w:rsidR="00131885" w:rsidRPr="00345325" w:rsidRDefault="00131885" w:rsidP="00131885">
      <w:pPr>
        <w:ind w:firstLine="708"/>
        <w:jc w:val="both"/>
      </w:pPr>
      <w:r>
        <w:t xml:space="preserve">5.2. </w:t>
      </w:r>
      <w:r w:rsidRPr="00596AA0">
        <w:t>YÜKLENİCİ, KEP hesapları kullanım</w:t>
      </w:r>
      <w:r>
        <w:t>ın</w:t>
      </w:r>
      <w:r w:rsidRPr="00596AA0">
        <w:t xml:space="preserve">a </w:t>
      </w:r>
      <w:r>
        <w:t>başlanmasından</w:t>
      </w:r>
      <w:r w:rsidRPr="00596AA0">
        <w:t xml:space="preserve"> önce</w:t>
      </w:r>
      <w:r>
        <w:t>ki</w:t>
      </w:r>
      <w:r w:rsidRPr="00596AA0">
        <w:t xml:space="preserve"> bir tarihte İDAR</w:t>
      </w:r>
      <w:r>
        <w:t xml:space="preserve">E’ </w:t>
      </w:r>
      <w:proofErr w:type="spellStart"/>
      <w:r>
        <w:t>nin</w:t>
      </w:r>
      <w:proofErr w:type="spellEnd"/>
      <w:r>
        <w:t xml:space="preserve"> belirleyeceği personele</w:t>
      </w:r>
      <w:r w:rsidRPr="00596AA0">
        <w:t xml:space="preserve"> KEP Sistemi konusunda</w:t>
      </w:r>
      <w:r>
        <w:t xml:space="preserve"> ihtiyaca göre en az 1(bir) </w:t>
      </w:r>
      <w:proofErr w:type="gramStart"/>
      <w:r>
        <w:t>günlük</w:t>
      </w:r>
      <w:r>
        <w:rPr>
          <w:color w:val="FF0000"/>
        </w:rPr>
        <w:t xml:space="preserve"> </w:t>
      </w:r>
      <w:r>
        <w:t xml:space="preserve"> </w:t>
      </w:r>
      <w:r w:rsidRPr="00596AA0">
        <w:t>ücretsiz</w:t>
      </w:r>
      <w:proofErr w:type="gramEnd"/>
      <w:r w:rsidRPr="00596AA0">
        <w:t xml:space="preserve"> </w:t>
      </w:r>
      <w:r>
        <w:t xml:space="preserve">teknik ve kullanıcı </w:t>
      </w:r>
      <w:r w:rsidRPr="00596AA0">
        <w:t>eğitim</w:t>
      </w:r>
      <w:r>
        <w:t>leri</w:t>
      </w:r>
      <w:r w:rsidRPr="00596AA0">
        <w:t xml:space="preserve"> verecektir.</w:t>
      </w:r>
      <w:r>
        <w:t xml:space="preserve"> Söz konusu eğitimler, hizmet sözleşmesinin geçerli olacağı süre içerisinde </w:t>
      </w:r>
      <w:proofErr w:type="spellStart"/>
      <w:r>
        <w:t>İDARE’nin</w:t>
      </w:r>
      <w:proofErr w:type="spellEnd"/>
      <w:r>
        <w:t xml:space="preserve"> talebi üzerine tekrarlanabilecektir.</w:t>
      </w:r>
    </w:p>
    <w:p w:rsidR="00131885" w:rsidRDefault="00131885" w:rsidP="00131885">
      <w:pPr>
        <w:ind w:firstLine="708"/>
        <w:jc w:val="both"/>
      </w:pPr>
      <w:r>
        <w:t>5.3.</w:t>
      </w:r>
      <w:r w:rsidRPr="00014E2F">
        <w:t xml:space="preserve"> YÜKLENİCİ ile İDARE arasında</w:t>
      </w:r>
      <w:r>
        <w:t>ki</w:t>
      </w:r>
      <w:r w:rsidRPr="00014E2F">
        <w:t xml:space="preserve"> protokol</w:t>
      </w:r>
      <w:r>
        <w:t>ün imzalanması müteakip en geç 5</w:t>
      </w:r>
      <w:r w:rsidRPr="00014E2F">
        <w:t xml:space="preserve"> (beş) </w:t>
      </w:r>
      <w:r w:rsidRPr="00596AA0">
        <w:t xml:space="preserve">işgünü sonunda KEP Hesap/Hesapları kullanılabilir duruma getirilmesi için gerekli evraklar İDARE tarafından hazırlanarak </w:t>
      </w:r>
      <w:proofErr w:type="spellStart"/>
      <w:r>
        <w:t>YÜKLENİCİ’ye</w:t>
      </w:r>
      <w:proofErr w:type="spellEnd"/>
      <w:r>
        <w:t xml:space="preserve"> teslim edilecektir.</w:t>
      </w:r>
    </w:p>
    <w:p w:rsidR="00131885" w:rsidRPr="00362831" w:rsidRDefault="00131885" w:rsidP="00131885">
      <w:pPr>
        <w:ind w:firstLine="708"/>
        <w:jc w:val="both"/>
      </w:pPr>
      <w:r>
        <w:t>5.5. Sözleşmenin imzalanmasını ve e</w:t>
      </w:r>
      <w:r w:rsidRPr="00596AA0">
        <w:t>vrakların resmi olarak teslim edilmesin</w:t>
      </w:r>
      <w:r>
        <w:t xml:space="preserve">i müteakip </w:t>
      </w:r>
      <w:r w:rsidRPr="00362831">
        <w:t>KEP Hesapları ve ek hizmetler en geç 5 (beş) iş günü sonunda,</w:t>
      </w:r>
      <w:r>
        <w:t xml:space="preserve"> t</w:t>
      </w:r>
      <w:r w:rsidRPr="00362831">
        <w:t xml:space="preserve">üm çözümler </w:t>
      </w:r>
      <w:proofErr w:type="spellStart"/>
      <w:r w:rsidRPr="00362831">
        <w:t>İDARE’nin</w:t>
      </w:r>
      <w:proofErr w:type="spellEnd"/>
      <w:r w:rsidRPr="00362831">
        <w:t xml:space="preserve"> </w:t>
      </w:r>
      <w:r w:rsidRPr="00362831">
        <w:lastRenderedPageBreak/>
        <w:t>onay süreleri hariç en geç 20 (yirmi) günü</w:t>
      </w:r>
      <w:r>
        <w:t>n</w:t>
      </w:r>
      <w:r w:rsidRPr="00362831">
        <w:t xml:space="preserve"> sonunda</w:t>
      </w:r>
      <w:r>
        <w:t xml:space="preserve"> YÜKLENİCİ tarafından kullanılır hale getirilecektir.</w:t>
      </w:r>
    </w:p>
    <w:p w:rsidR="00131885" w:rsidRDefault="00131885" w:rsidP="00131885">
      <w:pPr>
        <w:ind w:firstLine="708"/>
        <w:jc w:val="both"/>
      </w:pPr>
      <w:r>
        <w:t>5.6. YÜKLENİCİ</w:t>
      </w:r>
      <w:r w:rsidRPr="00416F3F">
        <w:t xml:space="preserve">, iletilen problemlerin çözümüne ilişkin </w:t>
      </w:r>
      <w:proofErr w:type="spellStart"/>
      <w:r>
        <w:t>İDARE’ye</w:t>
      </w:r>
      <w:proofErr w:type="spellEnd"/>
      <w:r w:rsidRPr="00416F3F">
        <w:t xml:space="preserve"> uzaktan destek ve uzaktan desteğin yeterli olmadığı durumlarda yerinde destek sağlayacaktır.</w:t>
      </w:r>
    </w:p>
    <w:p w:rsidR="00131885" w:rsidRDefault="00131885" w:rsidP="00131885">
      <w:pPr>
        <w:ind w:firstLine="708"/>
        <w:jc w:val="both"/>
      </w:pPr>
      <w:r>
        <w:t>5.7. YÜKLENİCİ; kendisine bildirilecek</w:t>
      </w:r>
      <w:r w:rsidRPr="00175B03">
        <w:t xml:space="preserve"> </w:t>
      </w:r>
      <w:r>
        <w:t>sorunlarda,</w:t>
      </w:r>
      <w:r w:rsidRPr="00175B03">
        <w:t xml:space="preserve"> </w:t>
      </w:r>
      <w:proofErr w:type="spellStart"/>
      <w:r>
        <w:t>İDARE’nin</w:t>
      </w:r>
      <w:proofErr w:type="spellEnd"/>
      <w:r w:rsidRPr="00175B03">
        <w:t xml:space="preserve"> bildirimi</w:t>
      </w:r>
      <w:r>
        <w:t>nden itibaren aşağıdaki tabloda</w:t>
      </w:r>
      <w:r w:rsidRPr="00175B03">
        <w:t xml:space="preserve"> belirtilen süreler içinde </w:t>
      </w:r>
      <w:r>
        <w:t>destek</w:t>
      </w:r>
      <w:r w:rsidRPr="00175B03">
        <w:t xml:space="preserve"> adımlarını gerçekleş</w:t>
      </w:r>
      <w:r>
        <w:t>tireceğini</w:t>
      </w:r>
      <w:r w:rsidRPr="00175B03">
        <w:t>, uzaktan erişim ile müdahale veya problemin içeriğine ve etki al</w:t>
      </w:r>
      <w:r>
        <w:t>anına göre yerinde müdahale edeceğini</w:t>
      </w:r>
      <w:r w:rsidRPr="00175B03">
        <w:t>, problemin iletildiği zamandan itibaren aşağıdaki tablo</w:t>
      </w:r>
      <w:r>
        <w:t>da</w:t>
      </w:r>
      <w:r w:rsidRPr="00175B03">
        <w:t xml:space="preserve"> belirtilen süreler içinde </w:t>
      </w:r>
      <w:r>
        <w:t>çözüme kavuşturacağını taahhüt edecektir.</w:t>
      </w:r>
    </w:p>
    <w:p w:rsidR="00131885" w:rsidRDefault="00131885" w:rsidP="00131885">
      <w:pPr>
        <w:ind w:firstLine="708"/>
        <w:jc w:val="both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2977"/>
      </w:tblGrid>
      <w:tr w:rsidR="00131885" w:rsidRPr="00175B03" w:rsidTr="009155C4">
        <w:trPr>
          <w:trHeight w:val="859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885" w:rsidRPr="00175B03" w:rsidRDefault="00131885" w:rsidP="009155C4">
            <w:pPr>
              <w:autoSpaceDE w:val="0"/>
              <w:autoSpaceDN w:val="0"/>
              <w:jc w:val="both"/>
              <w:rPr>
                <w:color w:val="000000"/>
                <w:szCs w:val="20"/>
              </w:rPr>
            </w:pPr>
            <w:r w:rsidRPr="00175B03">
              <w:rPr>
                <w:color w:val="000000"/>
                <w:szCs w:val="20"/>
              </w:rPr>
              <w:t>Problem Seviyesi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885" w:rsidRPr="00175B03" w:rsidRDefault="00131885" w:rsidP="009155C4">
            <w:pPr>
              <w:autoSpaceDE w:val="0"/>
              <w:autoSpaceDN w:val="0"/>
              <w:jc w:val="both"/>
              <w:rPr>
                <w:color w:val="000000"/>
                <w:szCs w:val="20"/>
              </w:rPr>
            </w:pPr>
            <w:r w:rsidRPr="00175B03">
              <w:rPr>
                <w:color w:val="000000"/>
                <w:szCs w:val="20"/>
              </w:rPr>
              <w:t>Müdahale Süresi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885" w:rsidRPr="00175B03" w:rsidRDefault="00131885" w:rsidP="009155C4">
            <w:pPr>
              <w:autoSpaceDE w:val="0"/>
              <w:autoSpaceDN w:val="0"/>
              <w:jc w:val="both"/>
              <w:rPr>
                <w:color w:val="000000"/>
                <w:szCs w:val="20"/>
              </w:rPr>
            </w:pPr>
            <w:r w:rsidRPr="00175B03">
              <w:rPr>
                <w:color w:val="000000"/>
                <w:szCs w:val="20"/>
              </w:rPr>
              <w:t>Çözüm Süresi</w:t>
            </w:r>
          </w:p>
          <w:p w:rsidR="00131885" w:rsidRPr="00175B03" w:rsidRDefault="00131885" w:rsidP="009155C4">
            <w:pPr>
              <w:autoSpaceDE w:val="0"/>
              <w:autoSpaceDN w:val="0"/>
              <w:jc w:val="both"/>
              <w:rPr>
                <w:color w:val="000000"/>
                <w:szCs w:val="20"/>
              </w:rPr>
            </w:pPr>
            <w:r w:rsidRPr="00175B03">
              <w:rPr>
                <w:color w:val="000000"/>
                <w:szCs w:val="20"/>
              </w:rPr>
              <w:t>(Müdahale Süresi dahil)</w:t>
            </w:r>
          </w:p>
        </w:tc>
      </w:tr>
      <w:tr w:rsidR="00131885" w:rsidRPr="00175B03" w:rsidTr="009155C4">
        <w:trPr>
          <w:trHeight w:val="9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885" w:rsidRPr="00175B03" w:rsidRDefault="00131885" w:rsidP="009155C4">
            <w:pPr>
              <w:autoSpaceDE w:val="0"/>
              <w:autoSpaceDN w:val="0"/>
              <w:jc w:val="both"/>
              <w:rPr>
                <w:color w:val="000000"/>
                <w:szCs w:val="20"/>
              </w:rPr>
            </w:pPr>
            <w:r w:rsidRPr="00175B03">
              <w:rPr>
                <w:color w:val="000000"/>
                <w:szCs w:val="20"/>
              </w:rPr>
              <w:t xml:space="preserve">Acil Öncelikli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885" w:rsidRPr="00175B03" w:rsidRDefault="00131885" w:rsidP="009155C4">
            <w:pPr>
              <w:autoSpaceDE w:val="0"/>
              <w:autoSpaceDN w:val="0"/>
              <w:jc w:val="both"/>
              <w:rPr>
                <w:color w:val="000000"/>
                <w:szCs w:val="20"/>
              </w:rPr>
            </w:pPr>
            <w:r w:rsidRPr="00175B03">
              <w:rPr>
                <w:color w:val="000000"/>
                <w:szCs w:val="20"/>
              </w:rPr>
              <w:t xml:space="preserve">3 saat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885" w:rsidRPr="00175B03" w:rsidRDefault="00131885" w:rsidP="009155C4">
            <w:pPr>
              <w:autoSpaceDE w:val="0"/>
              <w:autoSpaceDN w:val="0"/>
              <w:jc w:val="both"/>
              <w:rPr>
                <w:color w:val="000000"/>
                <w:szCs w:val="20"/>
              </w:rPr>
            </w:pPr>
            <w:r w:rsidRPr="00175B03">
              <w:rPr>
                <w:color w:val="000000"/>
                <w:szCs w:val="20"/>
              </w:rPr>
              <w:t xml:space="preserve">1 gün </w:t>
            </w:r>
          </w:p>
        </w:tc>
      </w:tr>
      <w:tr w:rsidR="00131885" w:rsidRPr="00175B03" w:rsidTr="009155C4">
        <w:trPr>
          <w:trHeight w:val="20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885" w:rsidRPr="00175B03" w:rsidRDefault="00131885" w:rsidP="009155C4">
            <w:pPr>
              <w:autoSpaceDE w:val="0"/>
              <w:autoSpaceDN w:val="0"/>
              <w:jc w:val="both"/>
              <w:rPr>
                <w:color w:val="000000"/>
                <w:szCs w:val="20"/>
              </w:rPr>
            </w:pPr>
            <w:r w:rsidRPr="00175B03">
              <w:rPr>
                <w:color w:val="000000"/>
                <w:szCs w:val="20"/>
              </w:rPr>
              <w:t xml:space="preserve">Yüksek Öncelikli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885" w:rsidRPr="00175B03" w:rsidRDefault="00131885" w:rsidP="009155C4">
            <w:pPr>
              <w:autoSpaceDE w:val="0"/>
              <w:autoSpaceDN w:val="0"/>
              <w:jc w:val="both"/>
              <w:rPr>
                <w:color w:val="000000"/>
                <w:szCs w:val="20"/>
              </w:rPr>
            </w:pPr>
            <w:r w:rsidRPr="00175B03">
              <w:rPr>
                <w:color w:val="000000"/>
                <w:szCs w:val="20"/>
              </w:rPr>
              <w:t xml:space="preserve">3 saat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885" w:rsidRPr="00175B03" w:rsidRDefault="00131885" w:rsidP="009155C4">
            <w:pPr>
              <w:autoSpaceDE w:val="0"/>
              <w:autoSpaceDN w:val="0"/>
              <w:jc w:val="both"/>
              <w:rPr>
                <w:color w:val="000000"/>
                <w:szCs w:val="20"/>
              </w:rPr>
            </w:pPr>
            <w:r w:rsidRPr="00175B03">
              <w:rPr>
                <w:color w:val="000000"/>
                <w:szCs w:val="20"/>
              </w:rPr>
              <w:t xml:space="preserve">2 gün </w:t>
            </w:r>
          </w:p>
        </w:tc>
      </w:tr>
      <w:tr w:rsidR="00131885" w:rsidRPr="00175B03" w:rsidTr="009155C4">
        <w:trPr>
          <w:trHeight w:val="20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885" w:rsidRPr="00175B03" w:rsidRDefault="00131885" w:rsidP="009155C4">
            <w:pPr>
              <w:autoSpaceDE w:val="0"/>
              <w:autoSpaceDN w:val="0"/>
              <w:jc w:val="both"/>
              <w:rPr>
                <w:color w:val="000000"/>
                <w:szCs w:val="20"/>
              </w:rPr>
            </w:pPr>
            <w:r w:rsidRPr="00175B03">
              <w:rPr>
                <w:color w:val="000000"/>
                <w:szCs w:val="20"/>
              </w:rPr>
              <w:t xml:space="preserve">Orta Öncelikli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885" w:rsidRPr="00175B03" w:rsidRDefault="00131885" w:rsidP="009155C4">
            <w:pPr>
              <w:autoSpaceDE w:val="0"/>
              <w:autoSpaceDN w:val="0"/>
              <w:jc w:val="both"/>
              <w:rPr>
                <w:color w:val="000000"/>
                <w:szCs w:val="20"/>
              </w:rPr>
            </w:pPr>
            <w:r w:rsidRPr="00175B03">
              <w:rPr>
                <w:color w:val="000000"/>
                <w:szCs w:val="20"/>
              </w:rPr>
              <w:t xml:space="preserve">1 gün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885" w:rsidRPr="00175B03" w:rsidRDefault="00131885" w:rsidP="009155C4">
            <w:pPr>
              <w:autoSpaceDE w:val="0"/>
              <w:autoSpaceDN w:val="0"/>
              <w:jc w:val="both"/>
              <w:rPr>
                <w:color w:val="000000"/>
                <w:szCs w:val="20"/>
              </w:rPr>
            </w:pPr>
            <w:r w:rsidRPr="00175B03">
              <w:rPr>
                <w:color w:val="000000"/>
                <w:szCs w:val="20"/>
              </w:rPr>
              <w:t xml:space="preserve">3 gün </w:t>
            </w:r>
          </w:p>
        </w:tc>
      </w:tr>
      <w:tr w:rsidR="00131885" w:rsidRPr="00175B03" w:rsidTr="009155C4">
        <w:trPr>
          <w:trHeight w:val="20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885" w:rsidRPr="00175B03" w:rsidRDefault="00131885" w:rsidP="009155C4">
            <w:pPr>
              <w:autoSpaceDE w:val="0"/>
              <w:autoSpaceDN w:val="0"/>
              <w:jc w:val="both"/>
              <w:rPr>
                <w:color w:val="000000"/>
                <w:szCs w:val="20"/>
              </w:rPr>
            </w:pPr>
            <w:r w:rsidRPr="00175B03">
              <w:rPr>
                <w:color w:val="000000"/>
                <w:szCs w:val="20"/>
              </w:rPr>
              <w:t xml:space="preserve">Düşük Öncelikli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885" w:rsidRPr="00175B03" w:rsidRDefault="00131885" w:rsidP="009155C4">
            <w:pPr>
              <w:autoSpaceDE w:val="0"/>
              <w:autoSpaceDN w:val="0"/>
              <w:jc w:val="both"/>
              <w:rPr>
                <w:color w:val="000000"/>
                <w:szCs w:val="20"/>
              </w:rPr>
            </w:pPr>
            <w:r w:rsidRPr="00175B03">
              <w:rPr>
                <w:color w:val="000000"/>
                <w:szCs w:val="20"/>
              </w:rPr>
              <w:t xml:space="preserve">2 gün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885" w:rsidRPr="00175B03" w:rsidRDefault="00131885" w:rsidP="009155C4">
            <w:pPr>
              <w:autoSpaceDE w:val="0"/>
              <w:autoSpaceDN w:val="0"/>
              <w:jc w:val="both"/>
              <w:rPr>
                <w:color w:val="000000"/>
                <w:szCs w:val="20"/>
              </w:rPr>
            </w:pPr>
            <w:r w:rsidRPr="00175B03">
              <w:rPr>
                <w:color w:val="000000"/>
                <w:szCs w:val="20"/>
              </w:rPr>
              <w:t xml:space="preserve">5 gün </w:t>
            </w:r>
          </w:p>
        </w:tc>
      </w:tr>
    </w:tbl>
    <w:p w:rsidR="00131885" w:rsidRPr="00014E2F" w:rsidRDefault="00131885" w:rsidP="00131885">
      <w:pPr>
        <w:jc w:val="both"/>
      </w:pPr>
    </w:p>
    <w:p w:rsidR="00131885" w:rsidRPr="00866EF0" w:rsidRDefault="00131885" w:rsidP="00131885">
      <w:pPr>
        <w:jc w:val="both"/>
        <w:rPr>
          <w:b/>
        </w:rPr>
      </w:pPr>
      <w:r w:rsidRPr="00866EF0">
        <w:rPr>
          <w:b/>
        </w:rPr>
        <w:t>Madde 6- Diğer Hususlar</w:t>
      </w:r>
    </w:p>
    <w:p w:rsidR="00131885" w:rsidRPr="00014E2F" w:rsidRDefault="00131885" w:rsidP="00131885">
      <w:pPr>
        <w:ind w:firstLine="708"/>
        <w:jc w:val="both"/>
      </w:pPr>
      <w:r>
        <w:t>6.1.</w:t>
      </w:r>
      <w:r w:rsidRPr="00014E2F">
        <w:t xml:space="preserve"> YÜKLENİCİ </w:t>
      </w:r>
      <w:r>
        <w:t xml:space="preserve">Ek.1’de yer alan tabloda belirtilen hizmetlere ilişkin fiyat teklifini KDV hariç olarak </w:t>
      </w:r>
      <w:proofErr w:type="spellStart"/>
      <w:r>
        <w:t>İDARE’ye</w:t>
      </w:r>
      <w:proofErr w:type="spellEnd"/>
      <w:r>
        <w:t xml:space="preserve"> sunacaktır.</w:t>
      </w:r>
    </w:p>
    <w:p w:rsidR="00131885" w:rsidRDefault="00131885" w:rsidP="00131885">
      <w:pPr>
        <w:ind w:firstLine="708"/>
        <w:jc w:val="both"/>
      </w:pPr>
      <w:r>
        <w:t>6.2.</w:t>
      </w:r>
      <w:r w:rsidRPr="00866EF0">
        <w:t xml:space="preserve"> YÜKLENİCİ </w:t>
      </w:r>
      <w:r>
        <w:t xml:space="preserve">talep edilen ürün ve hizmetle ilgili </w:t>
      </w:r>
      <w:r w:rsidRPr="00866EF0">
        <w:t>bedel haric</w:t>
      </w:r>
      <w:r>
        <w:t>i</w:t>
      </w:r>
      <w:r w:rsidRPr="00866EF0">
        <w:t xml:space="preserve">nde </w:t>
      </w:r>
      <w:r>
        <w:t xml:space="preserve">5 KEP adresini ve 1.000 KEP gönderisini ücretsiz olarak vermeyi kabul eder. </w:t>
      </w:r>
    </w:p>
    <w:p w:rsidR="00131885" w:rsidRPr="00345325" w:rsidRDefault="00131885" w:rsidP="00131885">
      <w:pPr>
        <w:ind w:firstLine="708"/>
        <w:jc w:val="both"/>
      </w:pPr>
      <w:r>
        <w:t>6.3.</w:t>
      </w:r>
      <w:r w:rsidRPr="00596AA0">
        <w:t xml:space="preserve"> İdarenin talebi halinde, kullanılan/kullanılacak KEP hesabı veya hesapla</w:t>
      </w:r>
      <w:r>
        <w:t>rına ek ücret karşılığında tanım</w:t>
      </w:r>
      <w:r w:rsidRPr="00596AA0">
        <w:t>lanabilecek ilave servisler ve bunla</w:t>
      </w:r>
      <w:r>
        <w:t>ra ilişkin ücretleri de teklifinde</w:t>
      </w:r>
      <w:r w:rsidRPr="00596AA0">
        <w:t xml:space="preserve"> belirtilecektir.</w:t>
      </w:r>
    </w:p>
    <w:p w:rsidR="00131885" w:rsidRPr="00345325" w:rsidRDefault="00131885" w:rsidP="00131885">
      <w:pPr>
        <w:ind w:firstLine="708"/>
        <w:jc w:val="both"/>
      </w:pPr>
      <w:r>
        <w:t>6.4</w:t>
      </w:r>
      <w:r w:rsidRPr="00596AA0">
        <w:t xml:space="preserve">. YÜKLENİCİ teklif tarihinden sonra servise koyduğu yeni hizmetler konusunda İdare’ye </w:t>
      </w:r>
      <w:r>
        <w:t>sözleşme</w:t>
      </w:r>
      <w:r w:rsidRPr="00596AA0">
        <w:t xml:space="preserve"> sü</w:t>
      </w:r>
      <w:r>
        <w:t xml:space="preserve">resince yazılı bilgi verecek, </w:t>
      </w:r>
      <w:proofErr w:type="spellStart"/>
      <w:r>
        <w:t>İDARE’nin</w:t>
      </w:r>
      <w:proofErr w:type="spellEnd"/>
      <w:r>
        <w:t xml:space="preserve"> talebi halinde yeni hizmetleri ücreti mukabilinde vereceğini taahhüt edecektir.</w:t>
      </w:r>
    </w:p>
    <w:p w:rsidR="00131885" w:rsidRPr="00345325" w:rsidRDefault="00131885" w:rsidP="00131885">
      <w:pPr>
        <w:ind w:firstLine="708"/>
        <w:jc w:val="both"/>
      </w:pPr>
      <w:r>
        <w:t>6.5</w:t>
      </w:r>
      <w:r w:rsidRPr="00866EF0">
        <w:t xml:space="preserve">. </w:t>
      </w:r>
      <w:proofErr w:type="spellStart"/>
      <w:r>
        <w:t>İDARE’nin</w:t>
      </w:r>
      <w:proofErr w:type="spellEnd"/>
      <w:r>
        <w:t xml:space="preserve"> temin edeceği </w:t>
      </w:r>
      <w:r w:rsidRPr="00866EF0">
        <w:t xml:space="preserve">her </w:t>
      </w:r>
      <w:r>
        <w:t>5</w:t>
      </w:r>
      <w:r w:rsidRPr="00866EF0">
        <w:t xml:space="preserve"> KEP hesabı için</w:t>
      </w:r>
      <w:r>
        <w:t xml:space="preserve"> Gelen</w:t>
      </w:r>
      <w:r w:rsidRPr="00866EF0">
        <w:t xml:space="preserve"> Posta kutusu alan </w:t>
      </w:r>
      <w:proofErr w:type="gramStart"/>
      <w:r>
        <w:t>miktarı  1</w:t>
      </w:r>
      <w:proofErr w:type="gramEnd"/>
      <w:r>
        <w:t xml:space="preserve"> GB</w:t>
      </w:r>
      <w:r w:rsidRPr="00596AA0">
        <w:t xml:space="preserve"> olarak tahsis edilecektir.</w:t>
      </w:r>
      <w:r>
        <w:t xml:space="preserve"> </w:t>
      </w:r>
    </w:p>
    <w:p w:rsidR="00131885" w:rsidRDefault="00131885" w:rsidP="00131885">
      <w:pPr>
        <w:ind w:firstLine="708"/>
      </w:pPr>
      <w:r>
        <w:t>6.6.</w:t>
      </w:r>
      <w:r w:rsidRPr="00014E2F">
        <w:t xml:space="preserve"> Hizmetin süresi </w:t>
      </w:r>
      <w:r>
        <w:t>sözleşme tarihini müteakip</w:t>
      </w:r>
      <w:r w:rsidRPr="00014E2F">
        <w:t xml:space="preserve"> </w:t>
      </w:r>
      <w:r>
        <w:t>1 yıllık olacaktır.</w:t>
      </w:r>
    </w:p>
    <w:p w:rsidR="00131885" w:rsidRPr="00345325" w:rsidRDefault="00131885" w:rsidP="00131885">
      <w:pPr>
        <w:ind w:firstLine="708"/>
        <w:jc w:val="both"/>
      </w:pPr>
      <w:r>
        <w:t>6.7</w:t>
      </w:r>
      <w:r w:rsidRPr="00345325">
        <w:t xml:space="preserve">. İDARE ve YÜKLENİCİ bu şartname kapsamındaki hizmetin takibinde sorumlu olacak ve konusuna göre yetkilendirilmiş kişilere yapılmış her türlü bildirim (resmi </w:t>
      </w:r>
      <w:proofErr w:type="gramStart"/>
      <w:r w:rsidRPr="00345325">
        <w:t>yazı,</w:t>
      </w:r>
      <w:proofErr w:type="gramEnd"/>
      <w:r w:rsidRPr="00345325">
        <w:t xml:space="preserve"> veya </w:t>
      </w:r>
      <w:r>
        <w:t xml:space="preserve">kayıtlı </w:t>
      </w:r>
      <w:r w:rsidRPr="00345325">
        <w:t>e-posta</w:t>
      </w:r>
      <w:r>
        <w:t xml:space="preserve"> ile</w:t>
      </w:r>
      <w:r w:rsidRPr="00345325">
        <w:t>) taraflara yapılmış olarak işlem görecektir.</w:t>
      </w:r>
    </w:p>
    <w:p w:rsidR="00131885" w:rsidRDefault="00131885" w:rsidP="00131885">
      <w:pPr>
        <w:ind w:firstLine="708"/>
        <w:jc w:val="both"/>
      </w:pPr>
      <w:r>
        <w:t xml:space="preserve">6.8. </w:t>
      </w:r>
      <w:proofErr w:type="spellStart"/>
      <w:r>
        <w:t>İDARE’nin</w:t>
      </w:r>
      <w:proofErr w:type="spellEnd"/>
      <w:r>
        <w:t xml:space="preserve"> sözleşme kapsamında temin edeceği hizmetlerin adetlerinde veya kapsamında değişiklik talep etmesi durumunda, YÜKLENİCİ bu hizmetleri işbu şartname kapsamında temin edilecek hizmetlerle aynı şartlarla sunulacağını taahhüt edecektir.</w:t>
      </w:r>
    </w:p>
    <w:p w:rsidR="00131885" w:rsidRDefault="00131885" w:rsidP="00131885">
      <w:pPr>
        <w:ind w:firstLine="708"/>
        <w:jc w:val="both"/>
      </w:pPr>
      <w:r>
        <w:t>6.9. YÜKLENİCİ</w:t>
      </w:r>
      <w:r w:rsidRPr="00416F3F">
        <w:t>, Türkiye’deki ofis sayısını</w:t>
      </w:r>
      <w:r>
        <w:t>, organizasyon bilgilerini</w:t>
      </w:r>
      <w:r w:rsidRPr="00416F3F">
        <w:t xml:space="preserve"> ve KEP kayıt </w:t>
      </w:r>
      <w:r>
        <w:t xml:space="preserve">ve destek </w:t>
      </w:r>
      <w:r w:rsidRPr="00416F3F">
        <w:t>hizmet</w:t>
      </w:r>
      <w:r>
        <w:t>lerini</w:t>
      </w:r>
      <w:r w:rsidRPr="00416F3F">
        <w:t xml:space="preserve"> </w:t>
      </w:r>
      <w:r>
        <w:t>verdiği</w:t>
      </w:r>
      <w:r w:rsidRPr="00416F3F">
        <w:t xml:space="preserve"> kayıt nokta sayısını teklifinde belirt</w:t>
      </w:r>
      <w:r>
        <w:t>ecektir</w:t>
      </w:r>
      <w:r w:rsidRPr="00416F3F">
        <w:t>.</w:t>
      </w:r>
    </w:p>
    <w:p w:rsidR="00131885" w:rsidRDefault="00131885" w:rsidP="00131885">
      <w:pPr>
        <w:ind w:firstLine="708"/>
        <w:jc w:val="both"/>
      </w:pPr>
      <w:r>
        <w:t>6.10. YÜKLENİCİ, teklif edeceği entegrasyon çözümüne ilişkin kurumsal referanslarını teklifinde belirtecektir.</w:t>
      </w:r>
    </w:p>
    <w:p w:rsidR="00131885" w:rsidRDefault="00131885" w:rsidP="00131885">
      <w:pPr>
        <w:jc w:val="both"/>
      </w:pPr>
    </w:p>
    <w:p w:rsidR="00131885" w:rsidRDefault="00131885" w:rsidP="00131885">
      <w:pPr>
        <w:jc w:val="both"/>
        <w:rPr>
          <w:b/>
        </w:rPr>
      </w:pPr>
      <w:r w:rsidRPr="00866EF0">
        <w:rPr>
          <w:b/>
        </w:rPr>
        <w:t xml:space="preserve">Madde </w:t>
      </w:r>
      <w:r>
        <w:rPr>
          <w:b/>
        </w:rPr>
        <w:t>7</w:t>
      </w:r>
      <w:r w:rsidRPr="00866EF0">
        <w:rPr>
          <w:b/>
        </w:rPr>
        <w:t xml:space="preserve">- </w:t>
      </w:r>
      <w:r>
        <w:rPr>
          <w:b/>
        </w:rPr>
        <w:t>Cezalar ve Sözleşmenin Feshi</w:t>
      </w:r>
    </w:p>
    <w:p w:rsidR="00131885" w:rsidRPr="003671AE" w:rsidRDefault="00131885" w:rsidP="00131885">
      <w:pPr>
        <w:jc w:val="both"/>
      </w:pPr>
      <w:r>
        <w:rPr>
          <w:b/>
        </w:rPr>
        <w:tab/>
      </w:r>
      <w:proofErr w:type="gramStart"/>
      <w:r>
        <w:t xml:space="preserve">7.1. YÜKLENİCİ, sözleşmeye uygun olarak işi bitirmediği takdirde ve/veya şartnamede </w:t>
      </w:r>
      <w:proofErr w:type="spellStart"/>
      <w:r>
        <w:t>İDARE’ce</w:t>
      </w:r>
      <w:proofErr w:type="spellEnd"/>
      <w:r>
        <w:t xml:space="preserve"> istenilen şartname maddelerinin gereğini yerine getirmemesi ve verilen süreleri aşması durumunda </w:t>
      </w:r>
      <w:proofErr w:type="spellStart"/>
      <w:r>
        <w:t>İDARE’ce</w:t>
      </w:r>
      <w:proofErr w:type="spellEnd"/>
      <w:r>
        <w:t xml:space="preserve"> gecikme ihtarı verilecek olup, gecikilen her takvim günü için sözleşme bedelinin yüzde biri (%1) oranında gecikme cezası uygulanır ve bu gecikme ihtarına rağmen aynı durumun devam etmesi halinde ayrıca protesto çekmeye gerek </w:t>
      </w:r>
      <w:r>
        <w:lastRenderedPageBreak/>
        <w:t xml:space="preserve">kalmaksızın varsa kesin teminatı gelir kaydedilir ve sözleşme feshedilerek hesabı genel hükümlere göre tasfiye edilir. </w:t>
      </w:r>
      <w:proofErr w:type="gramEnd"/>
    </w:p>
    <w:p w:rsidR="00131885" w:rsidRDefault="00131885" w:rsidP="00131885">
      <w:pPr>
        <w:jc w:val="both"/>
        <w:rPr>
          <w:highlight w:val="yellow"/>
        </w:rPr>
      </w:pPr>
    </w:p>
    <w:p w:rsidR="00131885" w:rsidRDefault="00131885" w:rsidP="00131885">
      <w:pPr>
        <w:jc w:val="both"/>
        <w:rPr>
          <w:b/>
        </w:rPr>
      </w:pPr>
      <w:r w:rsidRPr="00866EF0">
        <w:rPr>
          <w:b/>
        </w:rPr>
        <w:t xml:space="preserve">Madde </w:t>
      </w:r>
      <w:r>
        <w:rPr>
          <w:b/>
        </w:rPr>
        <w:t>8</w:t>
      </w:r>
      <w:r w:rsidRPr="00866EF0">
        <w:rPr>
          <w:b/>
        </w:rPr>
        <w:t xml:space="preserve">- </w:t>
      </w:r>
      <w:r>
        <w:rPr>
          <w:b/>
        </w:rPr>
        <w:t>Anlaşmazlıkların Çözümü</w:t>
      </w:r>
    </w:p>
    <w:p w:rsidR="00131885" w:rsidRDefault="00131885" w:rsidP="00131885">
      <w:pPr>
        <w:jc w:val="both"/>
      </w:pPr>
      <w:r>
        <w:rPr>
          <w:b/>
        </w:rPr>
        <w:tab/>
      </w:r>
      <w:r>
        <w:t>8.1. Şartnamenin uygulanmasında ortaya çıkacak ihtilaflarda Ankara Mahkemeleri yetkilidir.</w:t>
      </w:r>
    </w:p>
    <w:p w:rsidR="00131885" w:rsidRDefault="00131885" w:rsidP="00131885">
      <w:pPr>
        <w:jc w:val="both"/>
      </w:pPr>
    </w:p>
    <w:tbl>
      <w:tblPr>
        <w:tblStyle w:val="TabloKlavuzu"/>
        <w:tblW w:w="8931" w:type="dxa"/>
        <w:tblInd w:w="108" w:type="dxa"/>
        <w:tblLook w:val="04A0" w:firstRow="1" w:lastRow="0" w:firstColumn="1" w:lastColumn="0" w:noHBand="0" w:noVBand="1"/>
      </w:tblPr>
      <w:tblGrid>
        <w:gridCol w:w="4771"/>
        <w:gridCol w:w="1325"/>
        <w:gridCol w:w="2835"/>
      </w:tblGrid>
      <w:tr w:rsidR="00131885" w:rsidRPr="00EF7E21" w:rsidTr="009155C4">
        <w:trPr>
          <w:trHeight w:val="388"/>
        </w:trPr>
        <w:tc>
          <w:tcPr>
            <w:tcW w:w="6096" w:type="dxa"/>
            <w:gridSpan w:val="2"/>
          </w:tcPr>
          <w:p w:rsidR="00131885" w:rsidRPr="00EF7E21" w:rsidRDefault="00131885" w:rsidP="009155C4">
            <w:pPr>
              <w:ind w:left="68"/>
              <w:rPr>
                <w:rFonts w:ascii="Times New Roman" w:hAnsi="Times New Roman"/>
              </w:rPr>
            </w:pPr>
            <w:r w:rsidRPr="00EF7E21">
              <w:rPr>
                <w:rFonts w:ascii="Times New Roman" w:hAnsi="Times New Roman"/>
                <w:b/>
              </w:rPr>
              <w:t>Açıklama</w:t>
            </w:r>
            <w:r w:rsidRPr="00EF7E2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131885" w:rsidRPr="00EF7E21" w:rsidRDefault="00131885" w:rsidP="009155C4">
            <w:pPr>
              <w:ind w:left="50" w:right="-75"/>
              <w:jc w:val="center"/>
              <w:rPr>
                <w:rFonts w:ascii="Times New Roman" w:hAnsi="Times New Roman"/>
                <w:b/>
              </w:rPr>
            </w:pPr>
            <w:r w:rsidRPr="00EF7E21">
              <w:rPr>
                <w:rFonts w:ascii="Times New Roman" w:hAnsi="Times New Roman"/>
                <w:b/>
              </w:rPr>
              <w:t>Adet</w:t>
            </w:r>
          </w:p>
        </w:tc>
      </w:tr>
      <w:tr w:rsidR="00131885" w:rsidRPr="00EF7E21" w:rsidTr="009155C4">
        <w:trPr>
          <w:trHeight w:val="202"/>
        </w:trPr>
        <w:tc>
          <w:tcPr>
            <w:tcW w:w="6096" w:type="dxa"/>
            <w:gridSpan w:val="2"/>
          </w:tcPr>
          <w:p w:rsidR="00131885" w:rsidRDefault="00131885" w:rsidP="009155C4">
            <w:pPr>
              <w:spacing w:line="360" w:lineRule="auto"/>
              <w:ind w:firstLine="176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UNI</w:t>
            </w:r>
            <w:r w:rsidRPr="00073BCA">
              <w:rPr>
                <w:rFonts w:ascii="Times New Roman" w:hAnsi="Times New Roman"/>
                <w:szCs w:val="20"/>
              </w:rPr>
              <w:t>Gateway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KEP </w:t>
            </w:r>
            <w:r w:rsidRPr="00EF7E21">
              <w:rPr>
                <w:rFonts w:ascii="Times New Roman" w:hAnsi="Times New Roman"/>
                <w:szCs w:val="20"/>
              </w:rPr>
              <w:t>Entegrasyon çözümü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131885" w:rsidRDefault="00131885" w:rsidP="009155C4">
            <w:pPr>
              <w:spacing w:line="360" w:lineRule="auto"/>
              <w:ind w:firstLine="17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(Lisans </w:t>
            </w:r>
            <w:proofErr w:type="gramStart"/>
            <w:r>
              <w:rPr>
                <w:rFonts w:ascii="Times New Roman" w:hAnsi="Times New Roman"/>
                <w:szCs w:val="20"/>
              </w:rPr>
              <w:t>ve  7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x 24  Bakım ve Destek Dahil)</w:t>
            </w:r>
          </w:p>
          <w:p w:rsidR="00131885" w:rsidRDefault="00131885" w:rsidP="009155C4">
            <w:pPr>
              <w:spacing w:line="360" w:lineRule="auto"/>
              <w:ind w:firstLine="17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Cs w:val="20"/>
              </w:rPr>
              <w:t>Production</w:t>
            </w:r>
            <w:proofErr w:type="spellEnd"/>
            <w:r>
              <w:rPr>
                <w:rFonts w:ascii="Times New Roman" w:hAnsi="Times New Roman"/>
                <w:szCs w:val="20"/>
              </w:rPr>
              <w:t>, 1 Test ve 1 DRC Sunucu İçin)</w:t>
            </w:r>
          </w:p>
          <w:p w:rsidR="00131885" w:rsidRDefault="00131885" w:rsidP="009155C4">
            <w:pPr>
              <w:spacing w:line="360" w:lineRule="auto"/>
              <w:ind w:firstLine="17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Kurulum ve Konfigürasyon Hizmeti Dahil</w:t>
            </w:r>
          </w:p>
          <w:p w:rsidR="00131885" w:rsidRDefault="00131885" w:rsidP="009155C4">
            <w:pPr>
              <w:spacing w:line="360" w:lineRule="auto"/>
              <w:ind w:firstLine="17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Eğitim Hizmeti Dahil</w:t>
            </w:r>
          </w:p>
          <w:p w:rsidR="00131885" w:rsidRDefault="00131885" w:rsidP="009155C4">
            <w:pPr>
              <w:spacing w:line="360" w:lineRule="auto"/>
              <w:ind w:firstLine="17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 Yıllık Bakım, Destek Bedeli Dahil </w:t>
            </w:r>
          </w:p>
          <w:p w:rsidR="00131885" w:rsidRPr="00EF7E21" w:rsidRDefault="00131885" w:rsidP="009155C4">
            <w:pPr>
              <w:spacing w:line="360" w:lineRule="auto"/>
              <w:ind w:firstLine="176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1.000 KEP gönderisi ve 5 KEP Adresi Dahil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131885" w:rsidRDefault="00131885" w:rsidP="009155C4">
            <w:pPr>
              <w:spacing w:line="360" w:lineRule="auto"/>
              <w:ind w:right="53"/>
              <w:jc w:val="center"/>
              <w:rPr>
                <w:rFonts w:ascii="Times New Roman" w:hAnsi="Times New Roman"/>
              </w:rPr>
            </w:pPr>
          </w:p>
          <w:p w:rsidR="00131885" w:rsidRDefault="00131885" w:rsidP="009155C4">
            <w:pPr>
              <w:spacing w:line="360" w:lineRule="auto"/>
              <w:ind w:right="53"/>
              <w:jc w:val="center"/>
              <w:rPr>
                <w:rFonts w:ascii="Times New Roman" w:hAnsi="Times New Roman"/>
              </w:rPr>
            </w:pPr>
          </w:p>
          <w:p w:rsidR="00131885" w:rsidRPr="00EF7E21" w:rsidRDefault="00131885" w:rsidP="009155C4">
            <w:pPr>
              <w:spacing w:line="360" w:lineRule="auto"/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31885" w:rsidRPr="00EF7E21" w:rsidTr="009155C4">
        <w:trPr>
          <w:gridAfter w:val="2"/>
          <w:wAfter w:w="4160" w:type="dxa"/>
          <w:trHeight w:val="202"/>
        </w:trPr>
        <w:tc>
          <w:tcPr>
            <w:tcW w:w="47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1885" w:rsidRPr="00EF7E21" w:rsidRDefault="00131885" w:rsidP="009155C4">
            <w:pPr>
              <w:spacing w:line="360" w:lineRule="auto"/>
              <w:ind w:right="53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926CC2" w:rsidRPr="002E0EB9" w:rsidRDefault="00926CC2" w:rsidP="00131885">
      <w:pPr>
        <w:jc w:val="center"/>
        <w:rPr>
          <w:b/>
        </w:rPr>
      </w:pPr>
      <w:bookmarkStart w:id="0" w:name="_GoBack"/>
      <w:bookmarkEnd w:id="0"/>
    </w:p>
    <w:sectPr w:rsidR="00926CC2" w:rsidRPr="002E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D1" w:rsidRDefault="009D57D1" w:rsidP="0043275F">
      <w:r>
        <w:separator/>
      </w:r>
    </w:p>
  </w:endnote>
  <w:endnote w:type="continuationSeparator" w:id="0">
    <w:p w:rsidR="009D57D1" w:rsidRDefault="009D57D1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D1" w:rsidRDefault="009D57D1" w:rsidP="0043275F">
      <w:r>
        <w:separator/>
      </w:r>
    </w:p>
  </w:footnote>
  <w:footnote w:type="continuationSeparator" w:id="0">
    <w:p w:rsidR="009D57D1" w:rsidRDefault="009D57D1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F306213"/>
    <w:multiLevelType w:val="hybridMultilevel"/>
    <w:tmpl w:val="500AF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B845B8"/>
    <w:multiLevelType w:val="hybridMultilevel"/>
    <w:tmpl w:val="947CECA8"/>
    <w:lvl w:ilvl="0" w:tplc="70F62EEC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796ACC"/>
    <w:multiLevelType w:val="hybridMultilevel"/>
    <w:tmpl w:val="500AF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381AE0"/>
    <w:multiLevelType w:val="hybridMultilevel"/>
    <w:tmpl w:val="500AF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C75D68"/>
    <w:multiLevelType w:val="hybridMultilevel"/>
    <w:tmpl w:val="3CD05122"/>
    <w:lvl w:ilvl="0" w:tplc="39A60D3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C69650C"/>
    <w:multiLevelType w:val="hybridMultilevel"/>
    <w:tmpl w:val="500AF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9011E8"/>
    <w:multiLevelType w:val="hybridMultilevel"/>
    <w:tmpl w:val="500AF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C02E3"/>
    <w:multiLevelType w:val="hybridMultilevel"/>
    <w:tmpl w:val="BF861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D"/>
    <w:rsid w:val="00003EB5"/>
    <w:rsid w:val="00026BC6"/>
    <w:rsid w:val="00030083"/>
    <w:rsid w:val="00030394"/>
    <w:rsid w:val="000454F1"/>
    <w:rsid w:val="00046253"/>
    <w:rsid w:val="00053549"/>
    <w:rsid w:val="000540B0"/>
    <w:rsid w:val="000647A6"/>
    <w:rsid w:val="00080529"/>
    <w:rsid w:val="000875E8"/>
    <w:rsid w:val="00096BB9"/>
    <w:rsid w:val="000A2AC8"/>
    <w:rsid w:val="000B67FE"/>
    <w:rsid w:val="000C1F76"/>
    <w:rsid w:val="000E0326"/>
    <w:rsid w:val="00106237"/>
    <w:rsid w:val="00124BAF"/>
    <w:rsid w:val="00130B31"/>
    <w:rsid w:val="00131885"/>
    <w:rsid w:val="001428D6"/>
    <w:rsid w:val="0017088F"/>
    <w:rsid w:val="00190F78"/>
    <w:rsid w:val="00193706"/>
    <w:rsid w:val="001C4ABC"/>
    <w:rsid w:val="001C60B1"/>
    <w:rsid w:val="001D6F44"/>
    <w:rsid w:val="001E5066"/>
    <w:rsid w:val="001E5D22"/>
    <w:rsid w:val="001E639B"/>
    <w:rsid w:val="001F41B9"/>
    <w:rsid w:val="00200A51"/>
    <w:rsid w:val="00201277"/>
    <w:rsid w:val="00201666"/>
    <w:rsid w:val="0023518D"/>
    <w:rsid w:val="002367C1"/>
    <w:rsid w:val="002374C9"/>
    <w:rsid w:val="00262CD7"/>
    <w:rsid w:val="00272451"/>
    <w:rsid w:val="00273A61"/>
    <w:rsid w:val="00276C2A"/>
    <w:rsid w:val="002772E3"/>
    <w:rsid w:val="002A6EB8"/>
    <w:rsid w:val="002D18EA"/>
    <w:rsid w:val="002E0D57"/>
    <w:rsid w:val="002E24A1"/>
    <w:rsid w:val="002E5D75"/>
    <w:rsid w:val="002F627A"/>
    <w:rsid w:val="002F711B"/>
    <w:rsid w:val="0030705D"/>
    <w:rsid w:val="003164AE"/>
    <w:rsid w:val="0032320F"/>
    <w:rsid w:val="00326994"/>
    <w:rsid w:val="0032786C"/>
    <w:rsid w:val="003307EF"/>
    <w:rsid w:val="00331657"/>
    <w:rsid w:val="0033525F"/>
    <w:rsid w:val="00337F4E"/>
    <w:rsid w:val="00341E8F"/>
    <w:rsid w:val="0034620B"/>
    <w:rsid w:val="00370F56"/>
    <w:rsid w:val="003A4750"/>
    <w:rsid w:val="003B3F4E"/>
    <w:rsid w:val="003C5AD3"/>
    <w:rsid w:val="003E1776"/>
    <w:rsid w:val="003E7F4F"/>
    <w:rsid w:val="004055C8"/>
    <w:rsid w:val="00406A91"/>
    <w:rsid w:val="00410A74"/>
    <w:rsid w:val="00422021"/>
    <w:rsid w:val="0042209D"/>
    <w:rsid w:val="00427EE5"/>
    <w:rsid w:val="00432231"/>
    <w:rsid w:val="0043275F"/>
    <w:rsid w:val="00443184"/>
    <w:rsid w:val="00443BA1"/>
    <w:rsid w:val="0046767E"/>
    <w:rsid w:val="00474A0A"/>
    <w:rsid w:val="004751BA"/>
    <w:rsid w:val="00493583"/>
    <w:rsid w:val="004C1FEB"/>
    <w:rsid w:val="004D20FF"/>
    <w:rsid w:val="004D38F7"/>
    <w:rsid w:val="004F4700"/>
    <w:rsid w:val="004F4BD2"/>
    <w:rsid w:val="00507826"/>
    <w:rsid w:val="00515BB0"/>
    <w:rsid w:val="0053200C"/>
    <w:rsid w:val="00543C81"/>
    <w:rsid w:val="00563272"/>
    <w:rsid w:val="005735D9"/>
    <w:rsid w:val="005905A2"/>
    <w:rsid w:val="005B3EE3"/>
    <w:rsid w:val="005C6CED"/>
    <w:rsid w:val="005D5A10"/>
    <w:rsid w:val="005D7594"/>
    <w:rsid w:val="005F03B0"/>
    <w:rsid w:val="005F5C53"/>
    <w:rsid w:val="0060247C"/>
    <w:rsid w:val="006024CB"/>
    <w:rsid w:val="00611F46"/>
    <w:rsid w:val="00613765"/>
    <w:rsid w:val="006229FB"/>
    <w:rsid w:val="006414C1"/>
    <w:rsid w:val="00655AE7"/>
    <w:rsid w:val="00686C1F"/>
    <w:rsid w:val="00687A24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2ED8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633D"/>
    <w:rsid w:val="00757F5D"/>
    <w:rsid w:val="007669A6"/>
    <w:rsid w:val="0077316F"/>
    <w:rsid w:val="00780540"/>
    <w:rsid w:val="007909C3"/>
    <w:rsid w:val="00790E21"/>
    <w:rsid w:val="007A39FC"/>
    <w:rsid w:val="007C706C"/>
    <w:rsid w:val="007F13A0"/>
    <w:rsid w:val="008014F6"/>
    <w:rsid w:val="00804155"/>
    <w:rsid w:val="0080798B"/>
    <w:rsid w:val="00812433"/>
    <w:rsid w:val="008166BB"/>
    <w:rsid w:val="00826B68"/>
    <w:rsid w:val="00830951"/>
    <w:rsid w:val="00846C73"/>
    <w:rsid w:val="00856AC2"/>
    <w:rsid w:val="00856F68"/>
    <w:rsid w:val="0086446C"/>
    <w:rsid w:val="00883095"/>
    <w:rsid w:val="008907E2"/>
    <w:rsid w:val="00897C47"/>
    <w:rsid w:val="008A5F56"/>
    <w:rsid w:val="008B29E1"/>
    <w:rsid w:val="008B4EBD"/>
    <w:rsid w:val="008C164B"/>
    <w:rsid w:val="008E7F03"/>
    <w:rsid w:val="009122F5"/>
    <w:rsid w:val="00917548"/>
    <w:rsid w:val="0092279C"/>
    <w:rsid w:val="00926CC2"/>
    <w:rsid w:val="009378AB"/>
    <w:rsid w:val="00950217"/>
    <w:rsid w:val="00955299"/>
    <w:rsid w:val="009571B2"/>
    <w:rsid w:val="009818D6"/>
    <w:rsid w:val="00985EDD"/>
    <w:rsid w:val="009A4655"/>
    <w:rsid w:val="009D57D1"/>
    <w:rsid w:val="00A24561"/>
    <w:rsid w:val="00A34FEA"/>
    <w:rsid w:val="00A5756C"/>
    <w:rsid w:val="00A63E2D"/>
    <w:rsid w:val="00A7103E"/>
    <w:rsid w:val="00A81F5C"/>
    <w:rsid w:val="00AA0962"/>
    <w:rsid w:val="00AA3496"/>
    <w:rsid w:val="00AB54D6"/>
    <w:rsid w:val="00AD4A65"/>
    <w:rsid w:val="00AE0F5C"/>
    <w:rsid w:val="00AF22A7"/>
    <w:rsid w:val="00AF443B"/>
    <w:rsid w:val="00AF699F"/>
    <w:rsid w:val="00B03793"/>
    <w:rsid w:val="00B17A95"/>
    <w:rsid w:val="00B34B82"/>
    <w:rsid w:val="00B34D08"/>
    <w:rsid w:val="00B4545B"/>
    <w:rsid w:val="00B54AA6"/>
    <w:rsid w:val="00B60562"/>
    <w:rsid w:val="00B62059"/>
    <w:rsid w:val="00B64BB5"/>
    <w:rsid w:val="00B66F03"/>
    <w:rsid w:val="00B676B8"/>
    <w:rsid w:val="00B80839"/>
    <w:rsid w:val="00B8185D"/>
    <w:rsid w:val="00B8518C"/>
    <w:rsid w:val="00BA4820"/>
    <w:rsid w:val="00BA4CD5"/>
    <w:rsid w:val="00BB5182"/>
    <w:rsid w:val="00BB6094"/>
    <w:rsid w:val="00BC07D8"/>
    <w:rsid w:val="00BD7189"/>
    <w:rsid w:val="00BE09BA"/>
    <w:rsid w:val="00BE4AEB"/>
    <w:rsid w:val="00BE5204"/>
    <w:rsid w:val="00C03F94"/>
    <w:rsid w:val="00C069E4"/>
    <w:rsid w:val="00C10FE4"/>
    <w:rsid w:val="00C17E81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9040A"/>
    <w:rsid w:val="00C96104"/>
    <w:rsid w:val="00C96D75"/>
    <w:rsid w:val="00CA76F1"/>
    <w:rsid w:val="00CB5478"/>
    <w:rsid w:val="00CD534C"/>
    <w:rsid w:val="00CE058B"/>
    <w:rsid w:val="00CE0F82"/>
    <w:rsid w:val="00D23B7D"/>
    <w:rsid w:val="00D270CE"/>
    <w:rsid w:val="00D33F17"/>
    <w:rsid w:val="00D41586"/>
    <w:rsid w:val="00D70DF1"/>
    <w:rsid w:val="00D73FBC"/>
    <w:rsid w:val="00D92E4F"/>
    <w:rsid w:val="00DC737B"/>
    <w:rsid w:val="00DE743A"/>
    <w:rsid w:val="00DF63DD"/>
    <w:rsid w:val="00E00D16"/>
    <w:rsid w:val="00E0649A"/>
    <w:rsid w:val="00E07F65"/>
    <w:rsid w:val="00E12EE4"/>
    <w:rsid w:val="00E15FD4"/>
    <w:rsid w:val="00E2255B"/>
    <w:rsid w:val="00E245F0"/>
    <w:rsid w:val="00E257C5"/>
    <w:rsid w:val="00E26286"/>
    <w:rsid w:val="00E30E0B"/>
    <w:rsid w:val="00E36874"/>
    <w:rsid w:val="00E563D9"/>
    <w:rsid w:val="00E646C3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4AFA"/>
    <w:rsid w:val="00EE5BAD"/>
    <w:rsid w:val="00EE6FD0"/>
    <w:rsid w:val="00EF2949"/>
    <w:rsid w:val="00EF2EBB"/>
    <w:rsid w:val="00F044E4"/>
    <w:rsid w:val="00F10EAD"/>
    <w:rsid w:val="00F20304"/>
    <w:rsid w:val="00F20945"/>
    <w:rsid w:val="00F237BE"/>
    <w:rsid w:val="00F23BDA"/>
    <w:rsid w:val="00F26E66"/>
    <w:rsid w:val="00F30242"/>
    <w:rsid w:val="00F30DE9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C6E63"/>
    <w:rsid w:val="00FD300E"/>
    <w:rsid w:val="00FD3B86"/>
    <w:rsid w:val="00FD739B"/>
    <w:rsid w:val="00FD74FA"/>
    <w:rsid w:val="00FE291A"/>
    <w:rsid w:val="00FF0B9B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06A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3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406A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1">
    <w:name w:val="Style1"/>
    <w:basedOn w:val="Normal"/>
    <w:rsid w:val="00F237BE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 w:cs="Arial"/>
    </w:rPr>
  </w:style>
  <w:style w:type="paragraph" w:customStyle="1" w:styleId="Style4">
    <w:name w:val="Style4"/>
    <w:basedOn w:val="Normal"/>
    <w:rsid w:val="00F237BE"/>
    <w:pPr>
      <w:widowControl w:val="0"/>
      <w:autoSpaceDE w:val="0"/>
      <w:autoSpaceDN w:val="0"/>
      <w:adjustRightInd w:val="0"/>
      <w:spacing w:line="230" w:lineRule="exact"/>
      <w:ind w:firstLine="720"/>
      <w:jc w:val="both"/>
    </w:pPr>
    <w:rPr>
      <w:rFonts w:ascii="Arial" w:hAnsi="Arial" w:cs="Arial"/>
    </w:rPr>
  </w:style>
  <w:style w:type="paragraph" w:customStyle="1" w:styleId="Style5">
    <w:name w:val="Style5"/>
    <w:basedOn w:val="Normal"/>
    <w:rsid w:val="00F237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rsid w:val="00F237BE"/>
    <w:rPr>
      <w:rFonts w:ascii="Arial" w:hAnsi="Arial" w:cs="Arial" w:hint="default"/>
      <w:b/>
      <w:bCs/>
      <w:sz w:val="18"/>
      <w:szCs w:val="18"/>
    </w:rPr>
  </w:style>
  <w:style w:type="paragraph" w:customStyle="1" w:styleId="msonormalcxspilk">
    <w:name w:val="msonormalcxspilk"/>
    <w:basedOn w:val="Normal"/>
    <w:rsid w:val="00F237BE"/>
    <w:pPr>
      <w:spacing w:before="100" w:beforeAutospacing="1" w:after="100" w:afterAutospacing="1"/>
    </w:pPr>
  </w:style>
  <w:style w:type="paragraph" w:customStyle="1" w:styleId="msonormalcxsportacxsporta">
    <w:name w:val="msonormalcxsportacxsporta"/>
    <w:basedOn w:val="Normal"/>
    <w:rsid w:val="00F237BE"/>
    <w:pPr>
      <w:spacing w:before="100" w:beforeAutospacing="1" w:after="100" w:afterAutospacing="1"/>
    </w:pPr>
  </w:style>
  <w:style w:type="paragraph" w:customStyle="1" w:styleId="msonormalcxsportacxspson">
    <w:name w:val="msonormalcxsportacxspson"/>
    <w:basedOn w:val="Normal"/>
    <w:rsid w:val="00F237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06A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3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406A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1">
    <w:name w:val="Style1"/>
    <w:basedOn w:val="Normal"/>
    <w:rsid w:val="00F237BE"/>
    <w:pPr>
      <w:widowControl w:val="0"/>
      <w:autoSpaceDE w:val="0"/>
      <w:autoSpaceDN w:val="0"/>
      <w:adjustRightInd w:val="0"/>
      <w:spacing w:line="232" w:lineRule="exact"/>
      <w:jc w:val="center"/>
    </w:pPr>
    <w:rPr>
      <w:rFonts w:ascii="Arial" w:hAnsi="Arial" w:cs="Arial"/>
    </w:rPr>
  </w:style>
  <w:style w:type="paragraph" w:customStyle="1" w:styleId="Style4">
    <w:name w:val="Style4"/>
    <w:basedOn w:val="Normal"/>
    <w:rsid w:val="00F237BE"/>
    <w:pPr>
      <w:widowControl w:val="0"/>
      <w:autoSpaceDE w:val="0"/>
      <w:autoSpaceDN w:val="0"/>
      <w:adjustRightInd w:val="0"/>
      <w:spacing w:line="230" w:lineRule="exact"/>
      <w:ind w:firstLine="720"/>
      <w:jc w:val="both"/>
    </w:pPr>
    <w:rPr>
      <w:rFonts w:ascii="Arial" w:hAnsi="Arial" w:cs="Arial"/>
    </w:rPr>
  </w:style>
  <w:style w:type="paragraph" w:customStyle="1" w:styleId="Style5">
    <w:name w:val="Style5"/>
    <w:basedOn w:val="Normal"/>
    <w:rsid w:val="00F237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rsid w:val="00F237BE"/>
    <w:rPr>
      <w:rFonts w:ascii="Arial" w:hAnsi="Arial" w:cs="Arial" w:hint="default"/>
      <w:b/>
      <w:bCs/>
      <w:sz w:val="18"/>
      <w:szCs w:val="18"/>
    </w:rPr>
  </w:style>
  <w:style w:type="paragraph" w:customStyle="1" w:styleId="msonormalcxspilk">
    <w:name w:val="msonormalcxspilk"/>
    <w:basedOn w:val="Normal"/>
    <w:rsid w:val="00F237BE"/>
    <w:pPr>
      <w:spacing w:before="100" w:beforeAutospacing="1" w:after="100" w:afterAutospacing="1"/>
    </w:pPr>
  </w:style>
  <w:style w:type="paragraph" w:customStyle="1" w:styleId="msonormalcxsportacxsporta">
    <w:name w:val="msonormalcxsportacxsporta"/>
    <w:basedOn w:val="Normal"/>
    <w:rsid w:val="00F237BE"/>
    <w:pPr>
      <w:spacing w:before="100" w:beforeAutospacing="1" w:after="100" w:afterAutospacing="1"/>
    </w:pPr>
  </w:style>
  <w:style w:type="paragraph" w:customStyle="1" w:styleId="msonormalcxsportacxspson">
    <w:name w:val="msonormalcxsportacxspson"/>
    <w:basedOn w:val="Normal"/>
    <w:rsid w:val="00F237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2012-04-03T10:55:00Z</cp:lastPrinted>
  <dcterms:created xsi:type="dcterms:W3CDTF">2013-06-19T12:36:00Z</dcterms:created>
  <dcterms:modified xsi:type="dcterms:W3CDTF">2016-03-09T12:11:00Z</dcterms:modified>
</cp:coreProperties>
</file>